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897" w:rsidRDefault="00A37A2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>
        <w:pict w14:anchorId="154EF1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margin-left:0;margin-top:0;width:50pt;height:50pt;z-index:251659776;visibility:hidden">
            <v:path o:extrusionok="t"/>
            <o:lock v:ext="edit" selection="t"/>
          </v:shape>
        </w:pict>
      </w:r>
    </w:p>
    <w:p w:rsidR="00D74897" w:rsidRDefault="00DB15A1" w:rsidP="00DB15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36" w:left="0" w:hangingChars="236" w:hanging="566"/>
        <w:jc w:val="both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6229851" cy="87840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Математические модели в электроэнергетических расчетах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9851" cy="87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000000"/>
        </w:rPr>
        <w:lastRenderedPageBreak/>
        <w:drawing>
          <wp:inline distT="0" distB="0" distL="0" distR="0">
            <wp:extent cx="6345969" cy="8964000"/>
            <wp:effectExtent l="0" t="0" r="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Математические модели в электроэнергетических расчетах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5969" cy="89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B15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А</w:t>
      </w:r>
      <w:r w:rsidR="00A37A21">
        <w:rPr>
          <w:b/>
          <w:color w:val="000000"/>
        </w:rPr>
        <w:t>ннотация рабочей программы по дисциплине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Математические модели в электроэнергетических расчетах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center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Цель преподавания дисциплины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Ознакомление выпускников с основными принципами построения математических моделей электроэнергетических систем и применения этих моделей для исследования режимов работы электроэнергетических объектов.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Задачи изучения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Наработка знаний о принципах автоматиче</w:t>
      </w:r>
      <w:r>
        <w:rPr>
          <w:color w:val="000000"/>
        </w:rPr>
        <w:t>ского управления динамическими объектами.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В ходе изучения дисциплины у обучающегося формируются следующие компетенции: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ПК-1–Способность участвовать в проектировании электрического привода, автоматики механизмов и технологических комплексов.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4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  <w:r>
        <w:br w:type="page"/>
      </w:r>
      <w:r>
        <w:rPr>
          <w:color w:val="000000"/>
        </w:rPr>
        <w:lastRenderedPageBreak/>
        <w:t>1. П</w:t>
      </w:r>
      <w:r>
        <w:rPr>
          <w:color w:val="000000"/>
          <w:highlight w:val="white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before="240" w:line="304" w:lineRule="auto"/>
        <w:ind w:left="0" w:hanging="2"/>
        <w:rPr>
          <w:color w:val="000000"/>
        </w:rPr>
      </w:pPr>
      <w:r>
        <w:rPr>
          <w:color w:val="000000"/>
        </w:rPr>
        <w:t>1.1. Цель преподавания дисциплины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Ознакомление выпускников с основными принципами построения математических моделей электроэнергетических систем и применения этих моделей для исследования режимов работы электроэнергетических объектов.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before="240" w:line="304" w:lineRule="auto"/>
        <w:ind w:left="0" w:hanging="2"/>
        <w:rPr>
          <w:color w:val="000000"/>
        </w:rPr>
      </w:pPr>
      <w:r>
        <w:rPr>
          <w:color w:val="000000"/>
        </w:rPr>
        <w:t>1.2. Задачи изучения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Изучить принципы создания и анализ</w:t>
      </w:r>
      <w:r>
        <w:rPr>
          <w:color w:val="000000"/>
        </w:rPr>
        <w:t>а моделей объектов в электроэнергетических расчётах.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4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1.3. Компетенции обучающегося, формируемые в результате освоения дисциплины (модуля)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f5"/>
        <w:tblW w:w="957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4"/>
        <w:gridCol w:w="3876"/>
        <w:gridCol w:w="3480"/>
      </w:tblGrid>
      <w:tr w:rsidR="00D74897">
        <w:trPr>
          <w:tblHeader/>
          <w:jc w:val="center"/>
        </w:trPr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Категория компетенции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и наименование компетенции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Индикаторы достижения компетенции</w:t>
            </w:r>
          </w:p>
        </w:tc>
      </w:tr>
      <w:tr w:rsidR="00D74897">
        <w:trPr>
          <w:jc w:val="center"/>
        </w:trPr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Профессиональные компетенции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ПК-1–Способность участвовать в проектировании электрического привода, автоматики механизмов и технологических комплексов.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line="304" w:lineRule="auto"/>
              <w:ind w:left="0" w:hanging="2"/>
              <w:jc w:val="both"/>
              <w:rPr>
                <w:color w:val="000000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</w:t>
            </w:r>
          </w:p>
          <w:p w:rsidR="00D74897" w:rsidRDefault="00A37A2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Основные принципы создания математических моделей отдельных элементов;</w:t>
            </w:r>
          </w:p>
          <w:p w:rsidR="00D74897" w:rsidRDefault="00A37A2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проведения экспериментов по заданной методике;</w:t>
            </w:r>
          </w:p>
          <w:p w:rsidR="00D74897" w:rsidRDefault="00A37A2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Описание результатов проведённых экспериментов;</w:t>
            </w:r>
          </w:p>
          <w:p w:rsidR="00D74897" w:rsidRDefault="00A37A2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Анализ результатов проведённых экспериментов.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</w:t>
            </w:r>
          </w:p>
          <w:p w:rsidR="00D74897" w:rsidRDefault="00A37A2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Производить расчёт параметров математических моделей отдельных элементов;</w:t>
            </w:r>
          </w:p>
          <w:p w:rsidR="00D74897" w:rsidRDefault="00A37A2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Планировать и проводить эксперименты по заданным методикам;</w:t>
            </w:r>
          </w:p>
          <w:p w:rsidR="00D74897" w:rsidRDefault="00A37A2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Составлять описание проведённых исследований;</w:t>
            </w:r>
          </w:p>
          <w:p w:rsidR="00D74897" w:rsidRDefault="00A37A2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Проводить анализ результатов исследований.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</w:t>
            </w:r>
          </w:p>
          <w:p w:rsidR="00D74897" w:rsidRDefault="00A37A2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Навыками определения параметров математических моделей элементов электротехнических устройств;</w:t>
            </w:r>
          </w:p>
          <w:p w:rsidR="00D74897" w:rsidRDefault="00A37A2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Методами планирования экспериментов;</w:t>
            </w:r>
          </w:p>
          <w:p w:rsidR="00D74897" w:rsidRDefault="00A37A2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Навыками описания и анализа проведённых исследований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</w:tbl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rPr>
          <w:color w:val="000000"/>
        </w:rPr>
      </w:pPr>
      <w:r>
        <w:rPr>
          <w:color w:val="000000"/>
        </w:rPr>
        <w:t xml:space="preserve">2. </w:t>
      </w:r>
      <w:r>
        <w:rPr>
          <w:color w:val="000000"/>
          <w:highlight w:val="white"/>
        </w:rPr>
        <w:t>Место дисциплины в структуре образовательной программы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Дисциплина "</w:t>
      </w:r>
      <w:r>
        <w:rPr>
          <w:b/>
          <w:color w:val="000000"/>
        </w:rPr>
        <w:t xml:space="preserve"> </w:t>
      </w:r>
      <w:r>
        <w:rPr>
          <w:color w:val="000000"/>
        </w:rPr>
        <w:t>математические модели в электроэнергетических расчетах "</w:t>
      </w:r>
      <w:r>
        <w:rPr>
          <w:color w:val="000000"/>
        </w:rPr>
        <w:t xml:space="preserve"> является одной из основных дисциплин базового цикла. Она обеспечивает формирование технического мировоззрения будущего специалиста.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4" w:lineRule="auto"/>
        <w:ind w:left="0" w:hanging="2"/>
        <w:rPr>
          <w:color w:val="000000"/>
        </w:rPr>
      </w:pPr>
      <w:r>
        <w:rPr>
          <w:color w:val="000000"/>
        </w:rPr>
        <w:t>2.1. Перечень дисциплин, освоение которых студентами необходимо для изучения данной дисциплины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 ТОЭ (теория электрических цепей);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 высшая математика (математический анализ, дифференциальные уравнения, интегралы, операторы);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-спецкурс высшей математики (преобразования Лапласа и Фурье);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-информатика.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before="240" w:line="304" w:lineRule="auto"/>
        <w:ind w:left="0" w:hanging="2"/>
        <w:rPr>
          <w:color w:val="000000"/>
        </w:rPr>
      </w:pPr>
      <w:r>
        <w:rPr>
          <w:color w:val="000000"/>
        </w:rPr>
        <w:t>2.2. Перечень дисциплин, изучение которых базируе</w:t>
      </w:r>
      <w:r>
        <w:rPr>
          <w:color w:val="000000"/>
        </w:rPr>
        <w:t>тся на материале данной дисциплины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Проектирование электротехнических устройств; электроснабжение промышленных предприятий; автоматизация технологических комплексов в НГП.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rPr>
          <w:color w:val="000000"/>
        </w:rPr>
      </w:pPr>
      <w:r>
        <w:rPr>
          <w:color w:val="000000"/>
        </w:rPr>
        <w:t>3. Структура и содержание дисциплины: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ab/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Общая трудоемкость дисциплины составляет 3 зачетные единиц, 108 часа.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rPr>
          <w:color w:val="000000"/>
        </w:rPr>
      </w:pPr>
      <w:r>
        <w:rPr>
          <w:color w:val="000000"/>
        </w:rPr>
        <w:t>3.1. Объем дисциплины и виды учебной работы</w:t>
      </w:r>
    </w:p>
    <w:tbl>
      <w:tblPr>
        <w:tblStyle w:val="aff6"/>
        <w:tblW w:w="967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0"/>
        <w:gridCol w:w="884"/>
        <w:gridCol w:w="883"/>
        <w:gridCol w:w="606"/>
        <w:gridCol w:w="606"/>
        <w:gridCol w:w="606"/>
        <w:gridCol w:w="606"/>
        <w:gridCol w:w="606"/>
        <w:gridCol w:w="799"/>
        <w:gridCol w:w="799"/>
        <w:gridCol w:w="1213"/>
        <w:gridCol w:w="523"/>
        <w:gridCol w:w="523"/>
      </w:tblGrid>
      <w:tr w:rsidR="00D74897">
        <w:trPr>
          <w:cantSplit/>
          <w:trHeight w:val="630"/>
          <w:tblHeader/>
          <w:jc w:val="center"/>
        </w:trPr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Семестр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 часов</w:t>
            </w: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Зачет</w:t>
            </w:r>
          </w:p>
        </w:tc>
      </w:tr>
      <w:tr w:rsidR="00D74897">
        <w:trPr>
          <w:cantSplit/>
          <w:trHeight w:val="767"/>
          <w:tblHeader/>
          <w:jc w:val="center"/>
        </w:trPr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Лек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Лаб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ИЗ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D74897">
        <w:trPr>
          <w:jc w:val="center"/>
        </w:trPr>
        <w:tc>
          <w:tcPr>
            <w:tcW w:w="96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очное обучение</w:t>
            </w:r>
          </w:p>
        </w:tc>
      </w:tr>
      <w:tr w:rsidR="00D74897">
        <w:trPr>
          <w:jc w:val="center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38,3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69,7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РГР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74897">
        <w:trPr>
          <w:jc w:val="center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rPr>
          <w:jc w:val="center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38,3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0,3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69,7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РГР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74897">
        <w:trPr>
          <w:jc w:val="center"/>
        </w:trPr>
        <w:tc>
          <w:tcPr>
            <w:tcW w:w="96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заочное обучение</w:t>
            </w:r>
          </w:p>
        </w:tc>
      </w:tr>
      <w:tr w:rsidR="00D74897">
        <w:trPr>
          <w:jc w:val="center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97,7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контр. раб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74897">
        <w:trPr>
          <w:jc w:val="center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rPr>
          <w:jc w:val="center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10,3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0,3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97,7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контр. раб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  <w:sectPr w:rsidR="00D74897">
          <w:footerReference w:type="even" r:id="rId10"/>
          <w:footerReference w:type="default" r:id="rId11"/>
          <w:pgSz w:w="11906" w:h="16838"/>
          <w:pgMar w:top="851" w:right="851" w:bottom="851" w:left="1701" w:header="567" w:footer="510" w:gutter="0"/>
          <w:cols w:space="720"/>
        </w:sectPr>
      </w:pPr>
    </w:p>
    <w:p w:rsidR="00D74897" w:rsidRDefault="00A37A2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>3.1.1</w:t>
      </w:r>
      <w:r>
        <w:rPr>
          <w:i/>
          <w:color w:val="000000"/>
        </w:rPr>
        <w:t>.</w:t>
      </w:r>
      <w:r>
        <w:rPr>
          <w:color w:val="000000"/>
        </w:rPr>
        <w:t xml:space="preserve"> Объем часов и зачетных единиц по дисциплине 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f7"/>
        <w:tblW w:w="14850" w:type="dxa"/>
        <w:tblInd w:w="-7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3"/>
        <w:gridCol w:w="849"/>
        <w:gridCol w:w="1132"/>
        <w:gridCol w:w="850"/>
        <w:gridCol w:w="992"/>
        <w:gridCol w:w="850"/>
        <w:gridCol w:w="993"/>
        <w:gridCol w:w="850"/>
        <w:gridCol w:w="992"/>
        <w:gridCol w:w="851"/>
        <w:gridCol w:w="992"/>
        <w:gridCol w:w="641"/>
        <w:gridCol w:w="709"/>
        <w:gridCol w:w="850"/>
        <w:gridCol w:w="1066"/>
      </w:tblGrid>
      <w:tr w:rsidR="00D74897">
        <w:trPr>
          <w:cantSplit/>
        </w:trPr>
        <w:tc>
          <w:tcPr>
            <w:tcW w:w="2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раздела (модуля)</w:t>
            </w:r>
          </w:p>
          <w:p w:rsidR="00D74897" w:rsidRDefault="00A37A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 часов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(очн./заочн.)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Формиру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емые компетен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Аудиторные занятия по формам обучения</w:t>
            </w:r>
          </w:p>
        </w:tc>
        <w:tc>
          <w:tcPr>
            <w:tcW w:w="5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СРС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</w:t>
            </w:r>
          </w:p>
        </w:tc>
      </w:tr>
      <w:tr w:rsidR="00D74897">
        <w:trPr>
          <w:cantSplit/>
        </w:trPr>
        <w:tc>
          <w:tcPr>
            <w:tcW w:w="2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заочная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практические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лабораторные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D74897">
        <w:trPr>
          <w:cantSplit/>
        </w:trPr>
        <w:tc>
          <w:tcPr>
            <w:tcW w:w="2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очная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9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заочная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очная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заочная</w:t>
            </w: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 Введение.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2/2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2. </w:t>
            </w:r>
            <w:r>
              <w:rPr>
                <w:color w:val="000000"/>
              </w:rPr>
              <w:t>Численные методы решения электроэнергетических задач.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22/16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 Элементы теории вероятностей.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20/30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4. Элементы мат. статистики.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20/30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5. Построение математических моделей технологических процессов по экспериментальным данным.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41,7/ 27,7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Всего часов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105,7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АК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3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ИЗ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Всего часов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Зачетных единиц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  <w:sectPr w:rsidR="00D74897">
          <w:pgSz w:w="16838" w:h="11906" w:orient="landscape"/>
          <w:pgMar w:top="851" w:right="851" w:bottom="851" w:left="1701" w:header="567" w:footer="510" w:gutter="0"/>
          <w:cols w:space="720"/>
        </w:sect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3.1.2. Наименование тем, их содержание, объем в часах лекционных занятий (по семестрам)</w:t>
      </w:r>
    </w:p>
    <w:tbl>
      <w:tblPr>
        <w:tblStyle w:val="aff8"/>
        <w:tblW w:w="99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5"/>
        <w:gridCol w:w="3241"/>
        <w:gridCol w:w="3239"/>
        <w:gridCol w:w="1260"/>
        <w:gridCol w:w="1260"/>
      </w:tblGrid>
      <w:tr w:rsidR="00D74897">
        <w:trPr>
          <w:cantSplit/>
        </w:trPr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 темы</w:t>
            </w:r>
          </w:p>
        </w:tc>
        <w:tc>
          <w:tcPr>
            <w:tcW w:w="3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3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содержание темы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часов</w:t>
            </w:r>
          </w:p>
        </w:tc>
      </w:tr>
      <w:tr w:rsidR="00D74897">
        <w:trPr>
          <w:cantSplit/>
        </w:trPr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3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3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Очное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Заочное </w:t>
            </w:r>
          </w:p>
        </w:tc>
      </w:tr>
      <w:tr w:rsidR="00D74897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D74897">
        <w:trPr>
          <w:trHeight w:val="459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Введение.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Понятие модели. Абстрагирование. Математическая модель. Виды моделей: статистические, динамические и др. их форма. Методы идентификации. Характеристики численных методов.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74897">
        <w:trPr>
          <w:trHeight w:val="536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Численные методы решения электроэнергетических задач.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Математические модели установившихся режимов энергосистем и методы их решения. Численное интегрирование и численные методы решения дифференциальных уравнений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rPr>
          <w:trHeight w:val="53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Построение математических моделей технологических процессов по экспериментальным данным.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Функциональные и стохастические связи. Регрессия. Метод наименьших квадратов. Ф-ия невязок. Общая постановка задачи регрессионного анализа. Нормальные ур-я. Линейный регрессионный анализ. Линейная по параметрам модель. Стат. анализ ур-я регрессии. Адекватн</w:t>
            </w:r>
            <w:r>
              <w:rPr>
                <w:color w:val="000000"/>
              </w:rPr>
              <w:t>ость модели. Проверка гипотезы об адекватности модели. Дисперсия предсказания. Доверит. эллипсоид оценок коэфф-тов ур-я регрессии.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74897">
        <w:trPr>
          <w:trHeight w:val="528"/>
        </w:trPr>
        <w:tc>
          <w:tcPr>
            <w:tcW w:w="7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3.1.3. Наименование тем (вопросов), выделенных для самостоятельной работы студентов</w:t>
      </w:r>
    </w:p>
    <w:tbl>
      <w:tblPr>
        <w:tblStyle w:val="aff9"/>
        <w:tblW w:w="10260" w:type="dxa"/>
        <w:tblInd w:w="-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2947"/>
        <w:gridCol w:w="2947"/>
        <w:gridCol w:w="851"/>
        <w:gridCol w:w="2075"/>
      </w:tblGrid>
      <w:tr w:rsidR="00D74897">
        <w:trPr>
          <w:trHeight w:val="794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тем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в часах (очн/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заочн)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Литература</w:t>
            </w:r>
          </w:p>
        </w:tc>
      </w:tr>
      <w:tr w:rsidR="00D74897">
        <w:trPr>
          <w:trHeight w:val="58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Численные методы решения электроэнергетических задач.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Математические модели установившихся режимов энергосистем и методы их решения. Численное интегрирование и </w:t>
            </w:r>
            <w:r>
              <w:rPr>
                <w:color w:val="000000"/>
              </w:rPr>
              <w:lastRenderedPageBreak/>
              <w:t>численные методы решения дифференциальных уравнений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-/16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Л-1, Л-2, Л-3</w:t>
            </w:r>
          </w:p>
        </w:tc>
      </w:tr>
      <w:tr w:rsidR="00D74897">
        <w:trPr>
          <w:trHeight w:val="58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Элементы теории вероятностей.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Массовая операция. Вероятность. Ее свойства. Теорема схождения. Полная группа событий. Условная вероятность. Формула Байеса. Схема и формула Бернулли. Теорема умножения вероятностей. Формула полной вероятности. Случайные величины и их описание. Функции рас</w:t>
            </w:r>
            <w:r>
              <w:rPr>
                <w:color w:val="000000"/>
              </w:rPr>
              <w:t>пределения и плотности. Их свойства. Дискретные и непрерывные СВ. примеры СВ. нормальный закон. Центральная предельная теорема. Числовые хар-ки СВ. мат. ожидания, дисперс. моменты. Асимметрия, эксцесс, многомерные СВ. их описания. Мат. ожидания. Моменты. К</w:t>
            </w:r>
            <w:r>
              <w:rPr>
                <w:color w:val="000000"/>
              </w:rPr>
              <w:t>овариация. Дисперс. Матрица. Матричная ф-ла для дисперсной матрицы.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20/30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Л-4, Л-5</w:t>
            </w:r>
          </w:p>
        </w:tc>
      </w:tr>
      <w:tr w:rsidR="00D74897">
        <w:trPr>
          <w:trHeight w:val="532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Элементы мат. статистики.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Генеральная совокупность. Выборка. Точечные оценки. Несмещенность. Состоятельность. Эффективность. Оценки мат. ожидания, дисперсии и моментов. Определение дов. Интервала. Квантиль. Доверит. интервал для мат. ожидания и дисперсий. Проверка гипотез о характе</w:t>
            </w:r>
            <w:r>
              <w:rPr>
                <w:color w:val="000000"/>
              </w:rPr>
              <w:t>ре распределения. Гистограммы. Критерии Пирсона и крамера - мизиса. Проверка статистических гипотез.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20/30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Л-4, Л-5</w:t>
            </w:r>
          </w:p>
        </w:tc>
      </w:tr>
      <w:tr w:rsidR="00D74897">
        <w:trPr>
          <w:trHeight w:val="532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Построение математических моделей технологических процессов по </w:t>
            </w:r>
            <w:r>
              <w:rPr>
                <w:color w:val="000000"/>
              </w:rPr>
              <w:lastRenderedPageBreak/>
              <w:t>экспериментальным данным.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Прикладной регрессионный анализ.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29,7/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21,7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Л-4</w:t>
            </w:r>
          </w:p>
        </w:tc>
      </w:tr>
      <w:tr w:rsidR="00D74897">
        <w:trPr>
          <w:trHeight w:val="522"/>
        </w:trPr>
        <w:tc>
          <w:tcPr>
            <w:tcW w:w="7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Итого</w:t>
            </w:r>
          </w:p>
        </w:tc>
        <w:tc>
          <w:tcPr>
            <w:tcW w:w="2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69,7/97,7</w:t>
            </w:r>
          </w:p>
        </w:tc>
      </w:tr>
    </w:tbl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Примечание.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 графе "Литература" приводятся номера учебников, учебных и методических пособий согласно разделам 4.1 и 4.2 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3.1.4. Практические занятия, их содержание и объем в часах (по семестрам)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3.1.5. Лабораторные занятия, их наименование и объем в часах</w:t>
      </w:r>
    </w:p>
    <w:tbl>
      <w:tblPr>
        <w:tblStyle w:val="affa"/>
        <w:tblW w:w="99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7020"/>
        <w:gridCol w:w="1800"/>
      </w:tblGrid>
      <w:tr w:rsidR="00D74897">
        <w:trPr>
          <w:trHeight w:val="79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Номер работы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лабораторной работы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в часах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(очная/заочная)</w:t>
            </w:r>
          </w:p>
        </w:tc>
      </w:tr>
      <w:tr w:rsidR="00D74897">
        <w:trPr>
          <w:trHeight w:val="397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Численное решение нелинейных алгебраических уравнений.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4/-</w:t>
            </w:r>
          </w:p>
        </w:tc>
      </w:tr>
      <w:tr w:rsidR="00D74897">
        <w:trPr>
          <w:trHeight w:val="397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Численное решение систем линейных алгебраических уравнений.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4/-</w:t>
            </w:r>
          </w:p>
        </w:tc>
      </w:tr>
      <w:tr w:rsidR="00D74897">
        <w:trPr>
          <w:trHeight w:val="397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Численное интегрирование.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2/-</w:t>
            </w:r>
          </w:p>
        </w:tc>
      </w:tr>
      <w:tr w:rsidR="00D74897">
        <w:trPr>
          <w:trHeight w:val="397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Численное решение задачи Коши.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2/-</w:t>
            </w:r>
          </w:p>
        </w:tc>
      </w:tr>
      <w:tr w:rsidR="00D74897">
        <w:trPr>
          <w:trHeight w:val="397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Регрессионный анализ.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6/4</w:t>
            </w:r>
          </w:p>
        </w:tc>
      </w:tr>
      <w:tr w:rsidR="00D74897">
        <w:trPr>
          <w:trHeight w:val="397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rPr>
          <w:trHeight w:val="397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rPr>
          <w:trHeight w:val="397"/>
        </w:trPr>
        <w:tc>
          <w:tcPr>
            <w:tcW w:w="8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18/4</w:t>
            </w: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3.2. Перечень тем курсовых проектов (работ)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3.3. Перечень тем РГР </w:t>
      </w:r>
    </w:p>
    <w:tbl>
      <w:tblPr>
        <w:tblStyle w:val="affb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8"/>
        <w:gridCol w:w="8217"/>
      </w:tblGrid>
      <w:tr w:rsidR="00D74897">
        <w:trPr>
          <w:trHeight w:val="70"/>
          <w:tblHeader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 п-п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проекта (работы)</w:t>
            </w:r>
          </w:p>
        </w:tc>
      </w:tr>
      <w:tr w:rsidR="00D74897">
        <w:trPr>
          <w:trHeight w:val="70"/>
          <w:tblHeader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Обработка результатов статического пассивного эксперимента.</w:t>
            </w:r>
          </w:p>
        </w:tc>
      </w:tr>
    </w:tbl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3.4. Перечень тем рефератов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3.5. Перечень тем контрольных работ</w:t>
      </w:r>
    </w:p>
    <w:tbl>
      <w:tblPr>
        <w:tblStyle w:val="affc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23"/>
        <w:gridCol w:w="7947"/>
      </w:tblGrid>
      <w:tr w:rsidR="00D74897">
        <w:trPr>
          <w:trHeight w:val="70"/>
          <w:tblHeader/>
        </w:trPr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 п-п</w:t>
            </w:r>
          </w:p>
        </w:tc>
        <w:tc>
          <w:tcPr>
            <w:tcW w:w="7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проекта (работы)</w:t>
            </w:r>
          </w:p>
        </w:tc>
      </w:tr>
      <w:tr w:rsidR="00D74897">
        <w:trPr>
          <w:trHeight w:val="70"/>
          <w:tblHeader/>
        </w:trPr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Обработка результатов статического пассивного эксперимента.</w:t>
            </w: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3.6. Интерактивные образовательные технологии, используемые при проведении учебных занятий</w:t>
      </w:r>
    </w:p>
    <w:tbl>
      <w:tblPr>
        <w:tblStyle w:val="affd"/>
        <w:tblW w:w="97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2"/>
        <w:gridCol w:w="1606"/>
        <w:gridCol w:w="2541"/>
        <w:gridCol w:w="1523"/>
        <w:gridCol w:w="1786"/>
        <w:gridCol w:w="1317"/>
      </w:tblGrid>
      <w:tr w:rsidR="00D74897">
        <w:trPr>
          <w:tblHeader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Семестр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 занятий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Тема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Формируемая компетенция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Интерактив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часов</w:t>
            </w:r>
          </w:p>
        </w:tc>
      </w:tr>
      <w:tr w:rsidR="00D74897">
        <w:trPr>
          <w:tblHeader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IV/VII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Лабораторные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Численное решение систем линейных алгебраических уравнений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ПК-1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Опережающая самостоятельная работа.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4/-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74897">
        <w:trPr>
          <w:tblHeader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IV/VII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Лабораторные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Регрессионный анализ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ПК-1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Контекстное обучение 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6/4</w:t>
            </w:r>
          </w:p>
        </w:tc>
      </w:tr>
      <w:tr w:rsidR="00D74897">
        <w:trPr>
          <w:tblHeader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10/4</w:t>
            </w: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color w:val="000000"/>
          <w:highlight w:val="white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4.1. Основная и дополнительная литература</w:t>
      </w:r>
    </w:p>
    <w:tbl>
      <w:tblPr>
        <w:tblStyle w:val="affe"/>
        <w:tblW w:w="10305" w:type="dxa"/>
        <w:tblInd w:w="-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6192"/>
        <w:gridCol w:w="1018"/>
        <w:gridCol w:w="1124"/>
        <w:gridCol w:w="1293"/>
      </w:tblGrid>
      <w:tr w:rsidR="00D7489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№№ п-п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Автор и наименование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Вид пособия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Год издания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Кол-во </w:t>
            </w:r>
            <w:r>
              <w:rPr>
                <w:color w:val="000000"/>
              </w:rPr>
              <w:br/>
              <w:t>экз. в библиотеке</w:t>
            </w:r>
          </w:p>
        </w:tc>
      </w:tr>
      <w:tr w:rsidR="00D74897">
        <w:tc>
          <w:tcPr>
            <w:tcW w:w="103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основная литература:</w:t>
            </w:r>
          </w:p>
        </w:tc>
      </w:tr>
      <w:tr w:rsidR="00D7489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Л-1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Горлач Б.А., Шахов В.Г. Математическое моделирование.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Построение моделей и численная реализация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hyperlink r:id="rId12">
              <w:r>
                <w:rPr>
                  <w:color w:val="0000FF"/>
                  <w:u w:val="single"/>
                </w:rPr>
                <w:t>https://e.lanbook.com/book/103190</w:t>
              </w:r>
            </w:hyperlink>
          </w:p>
        </w:tc>
      </w:tr>
      <w:tr w:rsidR="00D7489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Л-2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Моделирование в электроэнергетике: учебное пособие /А.Ф. Шаталов, И.Н. Воротников и др. – Ставрополь: АГРУС Ставропольского гос. аграрного ун – та, 2014 </w:t>
            </w:r>
            <w:r>
              <w:rPr>
                <w:rFonts w:ascii="Arial" w:eastAsia="Arial" w:hAnsi="Arial" w:cs="Arial"/>
                <w:color w:val="000000"/>
                <w:highlight w:val="white"/>
              </w:rPr>
              <w:t>– 140 с.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hyperlink r:id="rId13">
              <w:r>
                <w:rPr>
                  <w:color w:val="0000FF"/>
                  <w:u w:val="single"/>
                </w:rPr>
                <w:t>https://znanium.com/catalog/document?id=42058</w:t>
              </w:r>
            </w:hyperlink>
            <w:r>
              <w:rPr>
                <w:color w:val="000000"/>
              </w:rPr>
              <w:t xml:space="preserve"> </w:t>
            </w:r>
          </w:p>
        </w:tc>
      </w:tr>
      <w:tr w:rsidR="00D7489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Л-3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 xml:space="preserve">Любченко В.Я. Применение математического моделирования в задачах электроэнергетики [Электронный ресурс]: учебное пособие/ Любченко В.Я., Родыгина С.В.— Электрон. текстовые данные.— Новосибирск: Новосибирский государственный технический университет, 2018.— </w:t>
            </w:r>
            <w:r>
              <w:rPr>
                <w:color w:val="000000"/>
                <w:highlight w:val="white"/>
              </w:rPr>
              <w:t>72 c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highlight w:val="white"/>
              </w:rPr>
            </w:pPr>
            <w:hyperlink r:id="rId14">
              <w:r>
                <w:rPr>
                  <w:color w:val="0000FF"/>
                  <w:highlight w:val="white"/>
                  <w:u w:val="single"/>
                </w:rPr>
                <w:t>http://www.iprbookshop.ru/91677.html</w:t>
              </w:r>
            </w:hyperlink>
            <w:r>
              <w:rPr>
                <w:color w:val="000000"/>
                <w:highlight w:val="white"/>
              </w:rPr>
              <w:t>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</w:tc>
      </w:tr>
      <w:tr w:rsidR="00D7489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D74897">
        <w:tc>
          <w:tcPr>
            <w:tcW w:w="103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дополнительная литература:</w:t>
            </w:r>
          </w:p>
        </w:tc>
      </w:tr>
      <w:tr w:rsidR="00D7489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Л-4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Пантелеев В. А.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white"/>
              </w:rPr>
              <w:t>Статистические основы моделирования: / Владимир Алексеевич Пантелеев. - Ухта : Изд-во Ухтинского государственного технического университета, 2008. - 116 с.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Др.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2008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hyperlink r:id="rId15">
              <w:r>
                <w:rPr>
                  <w:color w:val="0000FF"/>
                  <w:u w:val="single"/>
                </w:rPr>
                <w:t>http://lib.ugtu.net/book/575</w:t>
              </w:r>
            </w:hyperlink>
          </w:p>
        </w:tc>
      </w:tr>
      <w:tr w:rsidR="00D7489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Л-5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Смирнов Н. В. Курс теории вероятностей и математической статистики для технических приложений: Учебное пособие для высших технических учебных заведений / Николай Васильевич Смирнов, Игорь Валерианович Дунин-Барковский. - 3-е изд., стер. - Москва : Наука, 1</w:t>
            </w:r>
            <w:r>
              <w:rPr>
                <w:color w:val="000000"/>
                <w:highlight w:val="white"/>
              </w:rPr>
              <w:t>969. - 512 с.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1969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</w:tbl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Примечание: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1. Порядковая нумерация сквозная, двухиндексная (Л-1, Л-2, Л-3 и т.д.);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4.2. Методические пособия и указания</w:t>
      </w:r>
    </w:p>
    <w:tbl>
      <w:tblPr>
        <w:tblStyle w:val="afff"/>
        <w:tblW w:w="10200" w:type="dxa"/>
        <w:tblInd w:w="-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6913"/>
        <w:gridCol w:w="1303"/>
        <w:gridCol w:w="1303"/>
      </w:tblGrid>
      <w:tr w:rsidR="00D74897">
        <w:tc>
          <w:tcPr>
            <w:tcW w:w="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 п-п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 издания (состава)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Кол-во </w:t>
            </w:r>
            <w:r>
              <w:rPr>
                <w:color w:val="000000"/>
                <w:sz w:val="22"/>
                <w:szCs w:val="22"/>
              </w:rPr>
              <w:br/>
              <w:t>экз.</w:t>
            </w:r>
          </w:p>
        </w:tc>
      </w:tr>
      <w:tr w:rsidR="00D74897">
        <w:trPr>
          <w:trHeight w:val="340"/>
        </w:trPr>
        <w:tc>
          <w:tcPr>
            <w:tcW w:w="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</w:rPr>
              <w:t>Пантелеев, В. А. Математические модели в расчетах на ЭВМ [Текст] : метод. указания и задание на выполнение контрольной работы / В. А. Пантелеев. – Ухта : УГТУ, 2009.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2009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hyperlink r:id="rId16">
              <w:r>
                <w:rPr>
                  <w:color w:val="0000FF"/>
                  <w:u w:val="single"/>
                </w:rPr>
                <w:t>http://lib.ugtu.net/book/9542/</w:t>
              </w:r>
            </w:hyperlink>
          </w:p>
        </w:tc>
      </w:tr>
      <w:tr w:rsidR="00D74897">
        <w:trPr>
          <w:trHeight w:val="340"/>
        </w:trPr>
        <w:tc>
          <w:tcPr>
            <w:tcW w:w="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Семяшкина Е. И. Математические модели в электроэнергетических расчётах : методические указания и задание на выполнение расчётно-графической/контрольной работы / Е. И. Семяшкина, Е. В. Щетинин. – Ухта : УГТУ, 2021. – 26 с. ‒ Текст : электронный.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hyperlink r:id="rId17">
              <w:r>
                <w:rPr>
                  <w:color w:val="0000FF"/>
                  <w:u w:val="single"/>
                </w:rPr>
                <w:t>http://lib.ugtu.net/book/41776/</w:t>
              </w:r>
            </w:hyperlink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5. Программное обеспечение и Интернет-ресурсы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5.1. </w:t>
      </w:r>
      <w:r>
        <w:rPr>
          <w:color w:val="000000"/>
          <w:highlight w:val="white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hyperlink r:id="rId18">
        <w:r>
          <w:rPr>
            <w:color w:val="0000FF"/>
            <w:u w:val="single"/>
          </w:rPr>
          <w:t>НЭБ.РФ</w:t>
        </w:r>
      </w:hyperlink>
      <w:r>
        <w:rPr>
          <w:color w:val="000000"/>
        </w:rPr>
        <w:t xml:space="preserve"> – национальная электронная библиотека; e.lanbook.com; </w:t>
      </w:r>
      <w:hyperlink r:id="rId19">
        <w:r>
          <w:rPr>
            <w:color w:val="0000FF"/>
            <w:u w:val="single"/>
          </w:rPr>
          <w:t>www.znanium.com</w:t>
        </w:r>
      </w:hyperlink>
      <w:r>
        <w:rPr>
          <w:color w:val="000000"/>
        </w:rPr>
        <w:t>;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</w:rPr>
        <w:t xml:space="preserve">5.2. </w:t>
      </w:r>
      <w:r>
        <w:rPr>
          <w:color w:val="000000"/>
          <w:highlight w:val="white"/>
        </w:rPr>
        <w:t>Перечень информационных технологий, используемых при осуществлении образовательного процесса по</w:t>
      </w:r>
      <w:r>
        <w:rPr>
          <w:color w:val="000000"/>
          <w:highlight w:val="white"/>
        </w:rPr>
        <w:t xml:space="preserve"> дисциплине, включая перечень программного обеспечения и информационных справочных систем (при необходимости)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Пакет прикладных программ для решения задач технических вычислений MathCAD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6. Ф</w:t>
      </w:r>
      <w:r>
        <w:rPr>
          <w:color w:val="000000"/>
          <w:highlight w:val="white"/>
        </w:rPr>
        <w:t>онд оценочных средств для проведения текущей и промежуточной аттестации обучающихся по дисциплине Математические модели в электроэнергетических расчетах представлен в Приложении 1.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контроль и управление процессом приобретения обучающимися необходимых зн</w:t>
      </w:r>
      <w:r>
        <w:rPr>
          <w:color w:val="000000"/>
        </w:rPr>
        <w:t>аний,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 обеспечение соответствия результатов обучения задачам будущей профессиональной деятельности через совершенствование традиционных</w:t>
      </w:r>
      <w:r>
        <w:rPr>
          <w:color w:val="000000"/>
        </w:rPr>
        <w:t xml:space="preserve"> и внедрение инновационных методов обучения в образовательный процесс;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проверка качества формирования компетенций у обучающихся.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7. Описание материально-технической базы, необходимой для осуществления образовательного процесса по дисциплине Математическ</w:t>
      </w:r>
      <w:r>
        <w:rPr>
          <w:color w:val="000000"/>
        </w:rPr>
        <w:t>ие модели в электроэнергетических расчетах: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Пакет прикладных математических программ MathCAD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color w:val="000000"/>
        </w:rPr>
      </w:pPr>
      <w:r>
        <w:rPr>
          <w:color w:val="000000"/>
        </w:rPr>
        <w:t>8. Методические указания для обучающихся по освоению дисциплины представлены в Приложении 2.</w:t>
      </w:r>
    </w:p>
    <w:p w:rsidR="00D74897" w:rsidRDefault="00D74897">
      <w:pPr>
        <w:spacing w:before="240" w:after="240" w:line="276" w:lineRule="auto"/>
        <w:ind w:left="0" w:hanging="2"/>
      </w:pPr>
    </w:p>
    <w:p w:rsidR="00D74897" w:rsidRDefault="00D74897">
      <w:pPr>
        <w:spacing w:before="240" w:after="240" w:line="276" w:lineRule="auto"/>
        <w:ind w:left="0" w:hanging="2"/>
      </w:pPr>
    </w:p>
    <w:p w:rsidR="00D74897" w:rsidRDefault="00D74897">
      <w:pPr>
        <w:spacing w:before="240" w:after="240" w:line="276" w:lineRule="auto"/>
        <w:ind w:left="0" w:hanging="2"/>
      </w:pPr>
    </w:p>
    <w:p w:rsidR="00D74897" w:rsidRDefault="00A37A21">
      <w:pPr>
        <w:spacing w:before="240" w:after="240" w:line="276" w:lineRule="auto"/>
        <w:ind w:left="0" w:hanging="2"/>
      </w:pPr>
      <w:r>
        <w:lastRenderedPageBreak/>
        <w:t>9.     ЛИСТ АКТУАЛИЗАЦИИ</w:t>
      </w:r>
    </w:p>
    <w:p w:rsidR="00D74897" w:rsidRDefault="00A37A21">
      <w:pPr>
        <w:spacing w:before="240" w:after="240" w:line="276" w:lineRule="auto"/>
        <w:ind w:left="0" w:hanging="2"/>
      </w:pPr>
      <w:r>
        <w:t xml:space="preserve"> ______/______ учебный год</w:t>
      </w:r>
    </w:p>
    <w:p w:rsidR="00D74897" w:rsidRDefault="00A37A21">
      <w:pPr>
        <w:spacing w:before="240" w:after="240" w:line="276" w:lineRule="auto"/>
        <w:ind w:left="0" w:hanging="2"/>
      </w:pPr>
      <w:r>
        <w:t>В рабочую программу вносятся следующие изменения:</w:t>
      </w:r>
    </w:p>
    <w:p w:rsidR="00D74897" w:rsidRDefault="00A37A21">
      <w:pPr>
        <w:spacing w:before="240" w:after="240" w:line="276" w:lineRule="auto"/>
        <w:ind w:left="0" w:hanging="2"/>
      </w:pPr>
      <w:r>
        <w:t>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</w:t>
      </w:r>
    </w:p>
    <w:p w:rsidR="00D74897" w:rsidRDefault="00A37A21">
      <w:pPr>
        <w:spacing w:before="240" w:after="240" w:line="276" w:lineRule="auto"/>
        <w:ind w:left="0" w:hanging="2"/>
      </w:pPr>
      <w:r>
        <w:t>ФОС обновлен</w:t>
      </w:r>
    </w:p>
    <w:p w:rsidR="00D74897" w:rsidRDefault="00A37A21">
      <w:pPr>
        <w:spacing w:before="240" w:after="240" w:line="276" w:lineRule="auto"/>
        <w:ind w:left="0" w:hanging="2"/>
      </w:pPr>
      <w:r>
        <w:t>Рабочая программа рассмотрена на заседании кафедры______________________________</w:t>
      </w:r>
    </w:p>
    <w:p w:rsidR="00D74897" w:rsidRDefault="00A37A21">
      <w:pPr>
        <w:spacing w:before="240" w:after="240" w:line="276" w:lineRule="auto"/>
        <w:ind w:left="0" w:hanging="2"/>
      </w:pPr>
      <w:r>
        <w:t>протокол №___________от ________________</w:t>
      </w:r>
    </w:p>
    <w:p w:rsidR="00D74897" w:rsidRDefault="00A37A21">
      <w:pPr>
        <w:spacing w:before="240" w:after="240" w:line="276" w:lineRule="auto"/>
        <w:ind w:left="0" w:hanging="2"/>
      </w:pPr>
      <w:r>
        <w:t>Заведующий кафедро</w:t>
      </w:r>
      <w:r>
        <w:t>й _________________________________________________________</w:t>
      </w:r>
    </w:p>
    <w:p w:rsidR="00D74897" w:rsidRDefault="00A37A21">
      <w:pPr>
        <w:spacing w:before="240" w:after="240" w:line="276" w:lineRule="auto"/>
        <w:ind w:left="0" w:hanging="2"/>
      </w:pPr>
      <w:r>
        <w:t>"_____"______________ 20 ____г.</w:t>
      </w:r>
    </w:p>
    <w:p w:rsidR="00D74897" w:rsidRDefault="00D74897">
      <w:pPr>
        <w:spacing w:before="240" w:after="240" w:line="276" w:lineRule="auto"/>
        <w:ind w:left="0" w:hanging="2"/>
      </w:pPr>
    </w:p>
    <w:p w:rsidR="00D74897" w:rsidRDefault="00A37A21">
      <w:pPr>
        <w:spacing w:before="240" w:after="240" w:line="276" w:lineRule="auto"/>
        <w:ind w:left="0" w:hanging="2"/>
      </w:pPr>
      <w:r>
        <w:t>______/______ учебный год</w:t>
      </w:r>
    </w:p>
    <w:p w:rsidR="00D74897" w:rsidRDefault="00A37A21">
      <w:pPr>
        <w:spacing w:before="240" w:after="240" w:line="276" w:lineRule="auto"/>
        <w:ind w:left="0" w:hanging="2"/>
      </w:pPr>
      <w:r>
        <w:t>В рабочую программу вносятся следующие изменения:</w:t>
      </w:r>
    </w:p>
    <w:p w:rsidR="00D74897" w:rsidRDefault="00A37A21">
      <w:pPr>
        <w:spacing w:before="240" w:after="240" w:line="276" w:lineRule="auto"/>
        <w:ind w:left="0" w:hanging="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</w:t>
      </w:r>
    </w:p>
    <w:p w:rsidR="00D74897" w:rsidRDefault="00A37A21">
      <w:pPr>
        <w:spacing w:before="240" w:after="240" w:line="276" w:lineRule="auto"/>
        <w:ind w:left="0" w:hanging="2"/>
      </w:pPr>
      <w:r>
        <w:t>ФОС обновлен</w:t>
      </w:r>
    </w:p>
    <w:p w:rsidR="00D74897" w:rsidRDefault="00A37A21">
      <w:pPr>
        <w:spacing w:before="240" w:after="240" w:line="276" w:lineRule="auto"/>
        <w:ind w:left="0" w:hanging="2"/>
      </w:pPr>
      <w:r>
        <w:t>Рабочая программа рассмотрена на заседании кафедры______________________________</w:t>
      </w:r>
    </w:p>
    <w:p w:rsidR="00D74897" w:rsidRDefault="00A37A21">
      <w:pPr>
        <w:spacing w:before="240" w:after="240" w:line="276" w:lineRule="auto"/>
        <w:ind w:left="0" w:hanging="2"/>
      </w:pPr>
      <w:r>
        <w:t>протокол №___________от ________________</w:t>
      </w:r>
    </w:p>
    <w:p w:rsidR="00D74897" w:rsidRDefault="00A37A21">
      <w:pPr>
        <w:spacing w:before="240" w:after="240" w:line="276" w:lineRule="auto"/>
        <w:ind w:left="0" w:hanging="2"/>
      </w:pPr>
      <w:r>
        <w:t>Заведующий кафедрой ________________________________________________</w:t>
      </w:r>
      <w:r>
        <w:t>_________</w:t>
      </w:r>
    </w:p>
    <w:p w:rsidR="00D74897" w:rsidRDefault="00A37A21">
      <w:pPr>
        <w:spacing w:before="240" w:after="240" w:line="276" w:lineRule="auto"/>
        <w:ind w:left="0" w:hanging="2"/>
      </w:pPr>
      <w:r>
        <w:t>"_____"______________ 20 ____г.</w:t>
      </w:r>
    </w:p>
    <w:p w:rsidR="00D74897" w:rsidRDefault="00D74897">
      <w:pPr>
        <w:spacing w:before="240" w:after="240" w:line="276" w:lineRule="auto"/>
        <w:ind w:left="0" w:hanging="2"/>
      </w:pPr>
    </w:p>
    <w:p w:rsidR="00D74897" w:rsidRDefault="00A37A21">
      <w:pPr>
        <w:spacing w:before="240" w:after="240" w:line="276" w:lineRule="auto"/>
        <w:ind w:left="0" w:hanging="2"/>
      </w:pPr>
      <w:r>
        <w:t>______/______ учебный год</w:t>
      </w:r>
    </w:p>
    <w:p w:rsidR="00D74897" w:rsidRDefault="00A37A21">
      <w:pPr>
        <w:spacing w:before="240" w:after="240" w:line="276" w:lineRule="auto"/>
        <w:ind w:left="0" w:hanging="2"/>
      </w:pPr>
      <w:r>
        <w:t>В рабочую программу вносятся следующие изменения:</w:t>
      </w:r>
    </w:p>
    <w:p w:rsidR="00D74897" w:rsidRDefault="00A37A21">
      <w:pPr>
        <w:spacing w:before="240" w:after="240" w:line="276" w:lineRule="auto"/>
        <w:ind w:left="0" w:hanging="2"/>
      </w:pPr>
      <w:r>
        <w:t>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</w:t>
      </w:r>
    </w:p>
    <w:p w:rsidR="00D74897" w:rsidRDefault="00A37A21">
      <w:pPr>
        <w:spacing w:before="240" w:after="240" w:line="276" w:lineRule="auto"/>
        <w:ind w:left="0" w:hanging="2"/>
      </w:pPr>
      <w:r>
        <w:lastRenderedPageBreak/>
        <w:t>ФОС обновлен</w:t>
      </w:r>
    </w:p>
    <w:p w:rsidR="00D74897" w:rsidRDefault="00A37A21">
      <w:pPr>
        <w:spacing w:before="240" w:after="240" w:line="276" w:lineRule="auto"/>
        <w:ind w:left="0" w:hanging="2"/>
      </w:pPr>
      <w:r>
        <w:t>Рабочая программа рассмотрена на заседании кафедры_____________________</w:t>
      </w:r>
      <w:r>
        <w:t>_________</w:t>
      </w:r>
    </w:p>
    <w:p w:rsidR="00D74897" w:rsidRDefault="00A37A21">
      <w:pPr>
        <w:spacing w:before="240" w:after="240" w:line="276" w:lineRule="auto"/>
        <w:ind w:left="0" w:hanging="2"/>
      </w:pPr>
      <w:r>
        <w:t>протокол №___________от ________________</w:t>
      </w:r>
    </w:p>
    <w:p w:rsidR="00D74897" w:rsidRDefault="00A37A21">
      <w:pPr>
        <w:spacing w:before="240" w:after="240" w:line="276" w:lineRule="auto"/>
        <w:ind w:left="0" w:hanging="2"/>
      </w:pPr>
      <w:r>
        <w:t>Заведующий кафедрой _________________________________________________________</w:t>
      </w:r>
    </w:p>
    <w:p w:rsidR="00D74897" w:rsidRDefault="00A37A21">
      <w:pPr>
        <w:spacing w:before="240" w:after="240" w:line="276" w:lineRule="auto"/>
        <w:ind w:left="0" w:hanging="2"/>
      </w:pPr>
      <w:r>
        <w:t>"_____"______________ 20 ____г.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sectPr w:rsidR="00D74897">
          <w:pgSz w:w="11906" w:h="16838"/>
          <w:pgMar w:top="851" w:right="851" w:bottom="851" w:left="1701" w:header="567" w:footer="510" w:gutter="0"/>
          <w:cols w:space="720"/>
        </w:sect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right"/>
        <w:rPr>
          <w:color w:val="000000"/>
        </w:rPr>
      </w:pPr>
      <w:r>
        <w:rPr>
          <w:color w:val="000000"/>
        </w:rPr>
        <w:lastRenderedPageBreak/>
        <w:t>Приложение 1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МИНОБРНАУКИ РОССИИ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Федеральное государственное бюджетное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образовательное учреждение высшего образования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«Ухтинский государственный технический университет»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УГТУ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u w:val="single"/>
        </w:rPr>
      </w:pPr>
      <w:r>
        <w:rPr>
          <w:color w:val="000000"/>
        </w:rPr>
        <w:t>Факультет (филиал)</w:t>
      </w:r>
      <w:r>
        <w:rPr>
          <w:color w:val="000000"/>
          <w:u w:val="single"/>
        </w:rPr>
        <w:t xml:space="preserve"> Технологический                                                </w:t>
      </w:r>
    </w:p>
    <w:p w:rsidR="00D74897" w:rsidRDefault="00D74897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u w:val="single"/>
        </w:rPr>
      </w:pPr>
      <w:r>
        <w:rPr>
          <w:color w:val="000000"/>
        </w:rPr>
        <w:t xml:space="preserve">Кафедра </w:t>
      </w:r>
      <w:r>
        <w:rPr>
          <w:color w:val="000000"/>
          <w:u w:val="single"/>
        </w:rPr>
        <w:t> ЭиМ                                                                                        </w:t>
      </w: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66FF"/>
          <w:sz w:val="28"/>
          <w:szCs w:val="28"/>
        </w:rPr>
      </w:pPr>
      <w:r>
        <w:rPr>
          <w:i/>
          <w:color w:val="0066FF"/>
          <w:sz w:val="28"/>
          <w:szCs w:val="28"/>
          <w:vertAlign w:val="superscript"/>
        </w:rPr>
        <w:t xml:space="preserve">                         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ФОНД ОЦЕНОЧНЫХ СРЕДСТВ</w:t>
      </w: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 ДИСЦИПЛИНЕ</w:t>
      </w: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«Математические модели в электроэнергетических расчетах»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</w:rPr>
        <w:t>Направление подготовки: 13.03.02 Электроэнергетика и электротехника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 подготовки: Электропривод и автоматика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Квалификация: бакалавр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50"/>
          <w:tab w:val="left" w:pos="9408"/>
        </w:tabs>
        <w:spacing w:line="240" w:lineRule="auto"/>
        <w:ind w:left="0" w:hanging="2"/>
        <w:jc w:val="both"/>
        <w:rPr>
          <w:color w:val="0066FF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66FF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  <w:sectPr w:rsidR="00D74897">
          <w:pgSz w:w="11906" w:h="16838"/>
          <w:pgMar w:top="851" w:right="851" w:bottom="851" w:left="1701" w:header="567" w:footer="510" w:gutter="0"/>
          <w:cols w:space="720"/>
        </w:sectPr>
      </w:pPr>
    </w:p>
    <w:p w:rsidR="00D74897" w:rsidRDefault="00A37A2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Перечень компетенций и этапы их формирования </w:t>
      </w:r>
    </w:p>
    <w:tbl>
      <w:tblPr>
        <w:tblStyle w:val="afff0"/>
        <w:tblW w:w="104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67"/>
        <w:gridCol w:w="3172"/>
        <w:gridCol w:w="4681"/>
      </w:tblGrid>
      <w:tr w:rsidR="00D74897"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Код и наименование компетенции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Этапы формирования компетенции (тема дисциплины)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Дескрипторные характеристики компетенции (основные признаки)</w:t>
            </w:r>
          </w:p>
        </w:tc>
      </w:tr>
      <w:tr w:rsidR="00D74897"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ПК-1–Способность участвовать в проектировании электрического привода, автоматики механизмов и технологических комплексов.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line="304" w:lineRule="auto"/>
              <w:ind w:left="0" w:hanging="2"/>
              <w:jc w:val="both"/>
              <w:rPr>
                <w:color w:val="000000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Введение.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Виды и типы математических моделей. Этапы построения математических моделей. Основные методы идентификации объектов.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выбор способа и вида построения математической модели объекта. Производить выбор методов идентификации объектов. Оценивать различные способы создания моделей и производить выбор типа математической модели согласно достоинствам и недостаткам к</w:t>
            </w:r>
            <w:r>
              <w:rPr>
                <w:color w:val="000000"/>
              </w:rPr>
              <w:t>аждого способа создания моделей.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оценки и выбора способа моделирования для каждого конкретного технологического объекта. Навыками оценки и выбора метода идентификации.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Быть способным</w:t>
            </w:r>
            <w:r>
              <w:rPr>
                <w:color w:val="000000"/>
              </w:rPr>
              <w:t>: Участвовать в составе бригад при пуске и наладке элект</w:t>
            </w:r>
            <w:r>
              <w:rPr>
                <w:color w:val="000000"/>
              </w:rPr>
              <w:t>роэнергетических систем.</w:t>
            </w:r>
          </w:p>
        </w:tc>
      </w:tr>
      <w:tr w:rsidR="00D74897"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ПК-1–Способность участвовать в проектировании электрического привода, автоматики механизмов и технологических комплексов.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line="304" w:lineRule="auto"/>
              <w:ind w:left="0" w:hanging="2"/>
              <w:jc w:val="both"/>
              <w:rPr>
                <w:color w:val="000000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Элементы теории вероятностей.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Элементы математической статистики.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Основные понятия теории вероятностей. Основные понятия математической статистики. Основные методы анализа эксперимента. Достоинства и недостатки каждого из методов анализа эксперимента.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сравнительный анализ методов анализа экспериментал</w:t>
            </w:r>
            <w:r>
              <w:rPr>
                <w:color w:val="000000"/>
              </w:rPr>
              <w:t>ьных данных. Выбирать метод анализа экспериментальных данных для каждого конкретного объекта исследования.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работы с основными понятиями теории вероятностей и математической статистики. Навыками оценки и выбора метода анализа экспериментал</w:t>
            </w:r>
            <w:r>
              <w:rPr>
                <w:color w:val="000000"/>
              </w:rPr>
              <w:t>ьных данных.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Быть способным</w:t>
            </w:r>
            <w:r>
              <w:rPr>
                <w:color w:val="000000"/>
              </w:rPr>
              <w:t>: Участвовать в составе бригад при пуске и наладке электроэнергетических систем.</w:t>
            </w:r>
          </w:p>
        </w:tc>
      </w:tr>
      <w:tr w:rsidR="00D74897"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ПК-1–Способность участвовать в проектировании электрического привода, автоматики механизмов и технологических комплексов.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line="304" w:lineRule="auto"/>
              <w:ind w:left="0" w:hanging="2"/>
              <w:jc w:val="both"/>
              <w:rPr>
                <w:color w:val="000000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Численные методы решения электроэнергетических задач.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Методы анализа и расчёта электрических цепей. Основные виды прикладного программного обеспечения анализа электрических цепей.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расчёт электрических цепей. Производить анализ эле</w:t>
            </w:r>
            <w:r>
              <w:rPr>
                <w:color w:val="000000"/>
              </w:rPr>
              <w:t>ктрических цепей в прикладном программном обеспечении.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lastRenderedPageBreak/>
              <w:t>Владеть</w:t>
            </w:r>
            <w:r>
              <w:rPr>
                <w:color w:val="000000"/>
              </w:rPr>
              <w:t>: Навыками анализа электрических цепей. Навыками работы в прикладном программном обеспечении.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Быть способным</w:t>
            </w:r>
            <w:r>
              <w:rPr>
                <w:color w:val="000000"/>
              </w:rPr>
              <w:t>: Участвовать в составе бригад при пуске и наладке электроэнергетических систем.</w:t>
            </w:r>
          </w:p>
        </w:tc>
      </w:tr>
      <w:tr w:rsidR="00D74897"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ПК-1–Способность участвовать в проектировании электрического привода, автоматики механизмов и технологических комплексов.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Численные методы решения электроэнергетических задач.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Построение математических моделей технологических процессов по экспериментальн</w:t>
            </w:r>
            <w:r>
              <w:rPr>
                <w:color w:val="000000"/>
              </w:rPr>
              <w:t>ым данным.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Методы расчёта электрических цепей. Виды прикладного программного обеспечения анализа электрических цепей. Методами анализа статического режима моделей, полученных по результатам проведённого эксперимента.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расчёт установившихся и переходных режимов электрических цепей. Производить анализ электрических цепей в прикладном программном обеспечении. Производить анализ моделей, полученных в результате эксперимента, в установившемся режиме.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</w:t>
            </w:r>
            <w:r>
              <w:rPr>
                <w:color w:val="000000"/>
              </w:rPr>
              <w:t xml:space="preserve">авыками расчёта и анализа электрических цепей. Навыками анализа режимов экспериментальных моделей. 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Быть способным</w:t>
            </w:r>
            <w:r>
              <w:rPr>
                <w:color w:val="000000"/>
              </w:rPr>
              <w:t>: Участвовать в составе бригад при пуске и наладке электроэнергетических систем.</w:t>
            </w: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  <w:sectPr w:rsidR="00D74897">
          <w:pgSz w:w="11906" w:h="16838"/>
          <w:pgMar w:top="851" w:right="851" w:bottom="851" w:left="851" w:header="567" w:footer="510" w:gutter="0"/>
          <w:cols w:space="720"/>
        </w:sectPr>
      </w:pPr>
    </w:p>
    <w:p w:rsidR="00D74897" w:rsidRDefault="00A37A2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Паспорт фонда оценочных средств</w:t>
      </w:r>
    </w:p>
    <w:tbl>
      <w:tblPr>
        <w:tblStyle w:val="afff1"/>
        <w:tblW w:w="9823" w:type="dxa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602"/>
        <w:gridCol w:w="1921"/>
        <w:gridCol w:w="1704"/>
        <w:gridCol w:w="3056"/>
      </w:tblGrid>
      <w:tr w:rsidR="00D7489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Контролируемые дидактические единицы (разделы, 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темы) дисциплины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Код контролируемой компетенции (или ее части)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Форма контроля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оценочного средства</w:t>
            </w:r>
          </w:p>
        </w:tc>
      </w:tr>
      <w:tr w:rsidR="00D74897">
        <w:trPr>
          <w:trHeight w:val="8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Введение.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     ПК-1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Зачёт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Вопросы к зачёту,</w:t>
            </w:r>
          </w:p>
        </w:tc>
      </w:tr>
      <w:tr w:rsidR="00D74897">
        <w:trPr>
          <w:trHeight w:val="51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Численные методы решения электроэнергетических задач.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Зачёт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Вопросы к зачёту</w:t>
            </w:r>
          </w:p>
        </w:tc>
      </w:tr>
      <w:tr w:rsidR="00D74897">
        <w:trPr>
          <w:trHeight w:val="49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Элементы теории вероятностей.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Зачёт,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РГР (КР)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Вопросы к зачёту,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Варианты заданий. Методические рекомендации по выполнению РГР (КР)</w:t>
            </w:r>
          </w:p>
        </w:tc>
      </w:tr>
      <w:tr w:rsidR="00D74897">
        <w:trPr>
          <w:trHeight w:val="49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Элементы математической статистики.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Зачёт,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РГР (КР)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Вопросы к зачёту,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Варианты заданий. Методические рекомендации по выполнению РГР (КР)</w:t>
            </w:r>
          </w:p>
        </w:tc>
      </w:tr>
      <w:tr w:rsidR="00D74897">
        <w:trPr>
          <w:trHeight w:val="63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Построение математических моделей технологических процессов по экспериментальным данным.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Зачёт,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РГР (КР)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Вопросы к зачёту,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Варианты заданий. Методические рекомендации по выполнению РГР (КР)</w:t>
            </w: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  <w:sectPr w:rsidR="00D74897">
          <w:pgSz w:w="11906" w:h="16838"/>
          <w:pgMar w:top="851" w:right="851" w:bottom="851" w:left="851" w:header="567" w:footer="510" w:gutter="0"/>
          <w:cols w:space="720"/>
        </w:sectPr>
      </w:pPr>
    </w:p>
    <w:p w:rsidR="00D74897" w:rsidRDefault="00A37A2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Показатели и критерии оценивания компетенций, описание шкал оценивания</w:t>
      </w:r>
    </w:p>
    <w:tbl>
      <w:tblPr>
        <w:tblStyle w:val="afff2"/>
        <w:tblW w:w="100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156"/>
        <w:gridCol w:w="2665"/>
        <w:gridCol w:w="4255"/>
      </w:tblGrid>
      <w:tr w:rsidR="00D74897">
        <w:trPr>
          <w:trHeight w:val="93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Код компетенции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Показатели сформированности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Шкала оценивания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Критерии оценивания</w:t>
            </w:r>
          </w:p>
        </w:tc>
      </w:tr>
      <w:tr w:rsidR="00D74897">
        <w:trPr>
          <w:cantSplit/>
          <w:trHeight w:val="324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Виды и типы математических моделей. Этапы построения математических моделей. Основные методы идентификации объектов.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 xml:space="preserve">: Виды и типы математических моделей. Этапы построения математических моделей. </w:t>
            </w:r>
          </w:p>
        </w:tc>
      </w:tr>
      <w:tr w:rsidR="00D74897">
        <w:trPr>
          <w:cantSplit/>
          <w:trHeight w:val="32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Виды и типы математических моделей. Этапы построения математических моделей. Основные методы идентификации объектов.</w:t>
            </w:r>
          </w:p>
        </w:tc>
      </w:tr>
      <w:tr w:rsidR="00D74897">
        <w:trPr>
          <w:cantSplit/>
          <w:trHeight w:val="41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выбор способа и вида построения математической модели объекта. Производить выбор методов идентификации объектов. Оценивать различные способы создания моделей и производить выбор типа математической модели согласно достоинствам и недостаткам к</w:t>
            </w:r>
            <w:r>
              <w:rPr>
                <w:color w:val="000000"/>
              </w:rPr>
              <w:t>аждого способа создания моделей.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выбор способа и вида построения математической модели объекта.. Оценивать различные способы создания моделей и производить выбор типа математической модели согласно достоинствам и недостаткам каждого способа создания моделей.</w:t>
            </w:r>
          </w:p>
        </w:tc>
      </w:tr>
      <w:tr w:rsidR="00D74897">
        <w:trPr>
          <w:cantSplit/>
          <w:trHeight w:val="41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 xml:space="preserve">: Производить выбор способа и вида построения математической модели объекта. Производить выбор методов идентификации объектов. Оценивать различные способы создания моделей и производить выбор типа </w:t>
            </w:r>
            <w:r>
              <w:rPr>
                <w:color w:val="000000"/>
              </w:rPr>
              <w:t>математической модели согласно достоинствам и недостаткам каждого способа создания моделей.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оценки и выбора способа моделирования для каждого конкретного технологического объекта. Навыками оценки и выбора метода идентификации.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оценки и выбора способа моделирования для каждого конкретного технологического объекта. Навыками оценки.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Навыками оценки и выбора способа моделирования для каждого конкретного технологического объекта. Навыками оценки и выбора метода идентификации.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 xml:space="preserve">: Основные понятия теории вероятностей. </w:t>
            </w:r>
            <w:r>
              <w:rPr>
                <w:color w:val="000000"/>
              </w:rPr>
              <w:lastRenderedPageBreak/>
              <w:t>Основные понятия математической статистики. Основные методы а</w:t>
            </w:r>
            <w:r>
              <w:rPr>
                <w:color w:val="000000"/>
              </w:rPr>
              <w:t>нализа эксперимента. Достоинства и недостатки каждого из методов анализа эксперимента.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lastRenderedPageBreak/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 xml:space="preserve">: Основные понятия теории вероятностей. Основные понятия математической статистики. 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Основные понятия теории вероятностей. Основные понятия математической статистики. Основные методы анализа эксперимента. Достоинства и недостатки каждого из методов анализа эксперимента.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сравнительный анализ методов анализа экспериментальных данных. Выбирать метод анализа экспериментальных данных для каждого конкретного объекта исследования.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 xml:space="preserve">: Производить сравнительный анализ методов анализа экспериментальных данных. 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сравнительный анализ методов анализа экспериментальных данных. Выбирать метод анализа экспериментальных данных для каждого конкретного объекта исследования.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работы с основными понятиями теории вероятностей и математической статистики. Навыками оценки и выбора метода анализа экспериментальных данных.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 xml:space="preserve">: Навыками работы с основными понятиями теории вероятностей и математической статистики. 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Навыками работы с основными понятиями теории вероятностей и математической статистики. Навыками оценки и выбора метода анализа экспериментальных данных.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Методы анализа и расчёта электрических цепей. Основные виды прикладного программного обес</w:t>
            </w:r>
            <w:r>
              <w:rPr>
                <w:color w:val="000000"/>
              </w:rPr>
              <w:t>печения анализа электрических цепей.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Основные виды прикладного программного обеспечения анализа электрических цепей.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Методы анализа и расчёта электрических цепей. Основные виды прикладного программного обеспечения анализа электрических цепей.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 xml:space="preserve">: Производить расчёт </w:t>
            </w:r>
            <w:r>
              <w:rPr>
                <w:color w:val="000000"/>
              </w:rPr>
              <w:lastRenderedPageBreak/>
              <w:t>электрических цепей. Производить анализ электрических цепей в прикладном программном обеспечении.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lastRenderedPageBreak/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анализ электрических цепей в прикладном программном обеспечении.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расчёт электрических цепей. Производить анализ электрических цепей в прикладном программном обеспечении.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анализа электрических цепей. Навыками работы в прикладном программном обеспечении.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работы в прикладном программном обеспечении.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Навыками анализа электрических цепей. Навыками работы в прикладном программном обеспечении.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Методы расчёта электрических цепей. Виды прикладного программного обеспечения анализа электрических цепей. Методами анализа статического режима моделей, полученных по результатам проведённого эксперимента.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Методы р</w:t>
            </w:r>
            <w:r>
              <w:rPr>
                <w:color w:val="000000"/>
              </w:rPr>
              <w:t xml:space="preserve">асчёта электрических цепей. Виды прикладного программного обеспечения анализа электрических цепей. 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Методы расчёта электрических цепей. Виды прикладного программного обеспечения анализа электрических цепей. Методами анализа статического режима моделей, полученных по результатам проведённого эксперимента.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расчёт установившихся и пер</w:t>
            </w:r>
            <w:r>
              <w:rPr>
                <w:color w:val="000000"/>
              </w:rPr>
              <w:t xml:space="preserve">еходных режимов </w:t>
            </w:r>
            <w:r>
              <w:rPr>
                <w:color w:val="000000"/>
              </w:rPr>
              <w:lastRenderedPageBreak/>
              <w:t>электрических цепей. Производить анализ электрических цепей в прикладном программном обеспечении. Производить анализ моделей, полученных в результате эксперимента, в установившемся режиме.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lastRenderedPageBreak/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 xml:space="preserve">: Производить расчёт установившихся и переходных режимов электрических цепей. Производить анализ электрических цепей в прикладном программном обеспечении. 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расчёт установившихся и переходных режимов электрических цепей. Производить анализ электрических цепей в прикладном программном обеспечении. Производить анализ моделей, полученных в результате эксперимента, в установившемся режиме.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расчёта и анализа электрических цепей. Навыками анализа режимов экспериментальных моделей.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 xml:space="preserve">: Навыками расчёта и анализа электрических цепей. 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Навыками расчёта и анализа электрических цепей. Навыками анализа режимов экспериментальных моделей.</w:t>
            </w: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br w:type="page"/>
      </w:r>
    </w:p>
    <w:p w:rsidR="00D74897" w:rsidRDefault="00A37A2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Компетентностно-ориентированные задания (КОЗ)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Основным средством формирования компетенций ПК-1 выступает компетентностно-ориентированные задания (далее – КОЗ), которые представляют собой комплексное задание, предназначенное для контроля уровня успеваемости студента по дисциплине «Математические модели</w:t>
      </w:r>
      <w:r>
        <w:rPr>
          <w:color w:val="000000"/>
        </w:rPr>
        <w:t xml:space="preserve"> в электроэнергетических расчетах» и контроля уровня освоения компетенции ПК-1.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Оценка освоения учебной дисциплины осуществляется с использованием следующих форм и методов текущего контроля: расчётно-графическая работа для очной формы обучения, контрольная</w:t>
      </w:r>
      <w:r>
        <w:rPr>
          <w:color w:val="000000"/>
        </w:rPr>
        <w:t xml:space="preserve"> работа для заочной формы обучения, зачёт. В рамках зачёта необходимо ответить на тестовые вопросы. Время зачёта 45 минут.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br w:type="page"/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lastRenderedPageBreak/>
        <w:t>МИНОБРНАУКИ РОССИИ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Федеральное государственное бюджетное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образовательное учреждение высшего образования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«Ухтинский государственный технический университет»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ФГБОУ ВО «УГТУ»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Факультет (филиал</w:t>
      </w:r>
      <w:r>
        <w:rPr>
          <w:color w:val="000000"/>
          <w:sz w:val="28"/>
          <w:szCs w:val="28"/>
          <w:u w:val="single"/>
        </w:rPr>
        <w:t>)_Технологический_____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 xml:space="preserve">                      (наименование института (филиала))</w:t>
      </w: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Кафедра </w:t>
      </w:r>
      <w:r>
        <w:rPr>
          <w:i/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  <w:u w:val="single"/>
        </w:rPr>
        <w:t>ЭиМ</w:t>
      </w:r>
      <w:r>
        <w:rPr>
          <w:i/>
          <w:color w:val="000000"/>
          <w:sz w:val="28"/>
          <w:szCs w:val="28"/>
        </w:rPr>
        <w:t>_____________________</w:t>
      </w: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 xml:space="preserve">                      (наименование кафедры)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center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Типовой вариант задания на контрольную работу (РГР)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Для выполнения расчётно-графической (контрольной) работы студенты получают индивидуальные задания, распределяемые преподавателем по данной дисциплине (см. литературу – методические указания). </w:t>
      </w: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Это задание представляет собой имитацию на ЭВМ результатов 8-ми (9-ти или 10-ти) экспериментов, проведенных при условиях (т.е. при значениях фактора) </w:t>
      </w:r>
      <w:r>
        <w:rPr>
          <w:i/>
          <w:color w:val="000000"/>
        </w:rPr>
        <w:t>x</w:t>
      </w:r>
      <w:r>
        <w:rPr>
          <w:color w:val="000000"/>
        </w:rPr>
        <w:t>. Каждый из экспериментов дублировался трижды, и, соответственно, получено три значения отклика для каждо</w:t>
      </w:r>
      <w:r>
        <w:rPr>
          <w:color w:val="000000"/>
        </w:rPr>
        <w:t xml:space="preserve">го эксперимента: </w:t>
      </w:r>
      <w:r>
        <w:rPr>
          <w:i/>
          <w:color w:val="000000"/>
        </w:rPr>
        <w:t>y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, </w:t>
      </w:r>
      <w:r>
        <w:rPr>
          <w:i/>
          <w:color w:val="000000"/>
        </w:rPr>
        <w:t>y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, </w:t>
      </w:r>
      <w:r>
        <w:rPr>
          <w:i/>
          <w:color w:val="000000"/>
        </w:rPr>
        <w:t>y</w:t>
      </w:r>
      <w:r>
        <w:rPr>
          <w:color w:val="000000"/>
          <w:vertAlign w:val="subscript"/>
        </w:rPr>
        <w:t>3</w:t>
      </w:r>
      <w:r>
        <w:rPr>
          <w:color w:val="000000"/>
        </w:rPr>
        <w:t>.</w:t>
      </w:r>
    </w:p>
    <w:p w:rsidR="00D74897" w:rsidRDefault="00D7489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rPr>
          <w:color w:val="000000"/>
        </w:rPr>
      </w:pP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Требования к выполнению работы</w:t>
      </w:r>
    </w:p>
    <w:p w:rsidR="00D74897" w:rsidRDefault="00D7489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rPr>
          <w:color w:val="000000"/>
        </w:rPr>
      </w:pP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В процессе выполнения контрольной работы необходимо сделать следующее.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Рассчитать средние значения отклика в каждом опыте.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Рассчитать выборочные дисперсии в каждом опыте.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Проверить статистическую гипотезу об однородности дисперсий.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Рассчитать оценки дисперсии воспроизводимости и дисперсии среднего значения отклика.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Рассчитать матричным методом оценки коэффициентов А и В.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Проверить статистическую гипотезу об адекватности мод</w:t>
      </w:r>
      <w:r>
        <w:rPr>
          <w:color w:val="000000"/>
        </w:rPr>
        <w:t>ели.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Определить дисперсию предсказания модели.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 xml:space="preserve">Рассчитать коридор ошибок при значениях </w:t>
      </w:r>
      <w:r>
        <w:rPr>
          <w:i/>
          <w:color w:val="000000"/>
        </w:rPr>
        <w:t>х</w:t>
      </w:r>
      <w:r>
        <w:rPr>
          <w:color w:val="000000"/>
        </w:rPr>
        <w:t xml:space="preserve"> от </w:t>
      </w:r>
      <w:r>
        <w:rPr>
          <w:b/>
          <w:i/>
          <w:color w:val="000000"/>
        </w:rPr>
        <w:t xml:space="preserve">0,25 </w:t>
      </w:r>
      <w:r>
        <w:rPr>
          <w:color w:val="000000"/>
        </w:rPr>
        <w:t xml:space="preserve">до </w:t>
      </w:r>
      <w:r>
        <w:rPr>
          <w:b/>
          <w:i/>
          <w:color w:val="000000"/>
        </w:rPr>
        <w:t xml:space="preserve">4 </w:t>
      </w:r>
      <w:r>
        <w:rPr>
          <w:color w:val="000000"/>
        </w:rPr>
        <w:t xml:space="preserve">с интервалом </w:t>
      </w:r>
      <w:r>
        <w:rPr>
          <w:b/>
          <w:i/>
          <w:color w:val="000000"/>
        </w:rPr>
        <w:t>0,25</w:t>
      </w:r>
      <w:r>
        <w:rPr>
          <w:color w:val="000000"/>
        </w:rPr>
        <w:t>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Построить график модели с доверительным интервалом. На график нанести экспериментальные точки (среднее значение отклика в каждом опыте).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Рассчитать собственные числа, направления собственных векторов и</w:t>
      </w:r>
      <w:r>
        <w:rPr>
          <w:color w:val="000000"/>
        </w:rPr>
        <w:br/>
        <w:t>длины главных полуосей доверительного эллипсоида.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Пост</w:t>
      </w:r>
      <w:r>
        <w:rPr>
          <w:color w:val="000000"/>
        </w:rPr>
        <w:t>роить график доверительного эллипсоида.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80" w:hanging="2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1" w:hanging="3"/>
        <w:jc w:val="both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  <w:sectPr w:rsidR="00D74897">
          <w:pgSz w:w="11906" w:h="16838"/>
          <w:pgMar w:top="851" w:right="851" w:bottom="851" w:left="1701" w:header="567" w:footer="510" w:gutter="0"/>
          <w:cols w:space="720"/>
        </w:sect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lastRenderedPageBreak/>
        <w:t>МИНОБРНАУКИ РОССИИ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Федеральное государственное бюджетное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образовательное учреждение высшего образования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«Ухтинский государственный технический университет»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ФГБОУ ВО «УГТУ»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(филиал</w:t>
      </w:r>
      <w:r>
        <w:rPr>
          <w:color w:val="000000"/>
          <w:sz w:val="28"/>
          <w:szCs w:val="28"/>
          <w:u w:val="single"/>
        </w:rPr>
        <w:t>)_Технологический_____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 xml:space="preserve">                      (наименование института (филиала))</w:t>
      </w: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Кафедра </w:t>
      </w:r>
      <w:r>
        <w:rPr>
          <w:i/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  <w:u w:val="single"/>
        </w:rPr>
        <w:t>ЭиМ</w:t>
      </w:r>
      <w:r>
        <w:rPr>
          <w:i/>
          <w:color w:val="000000"/>
          <w:sz w:val="28"/>
          <w:szCs w:val="28"/>
        </w:rPr>
        <w:t>_____________________</w:t>
      </w: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 xml:space="preserve">                      (наименование кафедры)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74" w:after="240" w:line="240" w:lineRule="auto"/>
        <w:ind w:left="1" w:hanging="3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Вопросы к зачету</w:t>
      </w:r>
    </w:p>
    <w:tbl>
      <w:tblPr>
        <w:tblStyle w:val="afff3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3"/>
        <w:gridCol w:w="4695"/>
        <w:gridCol w:w="4412"/>
      </w:tblGrid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Вопрос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Ответ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Локализуйте корни уравнения</w:t>
            </w:r>
            <w:r>
              <w:rPr>
                <w:color w:val="000000"/>
              </w:rPr>
              <w:object w:dxaOrig="1320" w:dyaOrig="320">
                <v:shape id="_x0000_s0" o:spid="_x0000_i1025" type="#_x0000_t75" style="width:66pt;height:15.75pt;visibility:visible" o:ole="">
                  <v:imagedata r:id="rId20" o:title=""/>
                  <v:path o:extrusionok="t"/>
                </v:shape>
                <o:OLEObject Type="Embed" ShapeID="_x0000_s0" DrawAspect="Content" ObjectID="_1714471013" r:id="rId21"/>
              </w:object>
            </w:r>
            <w:r>
              <w:rPr>
                <w:color w:val="000000"/>
              </w:rPr>
              <w:t xml:space="preserve"> графически и укажите их количество: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1;            2) 2;           3) 3;           4) 4.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Уравнение </w:t>
            </w:r>
            <w:r>
              <w:rPr>
                <w:color w:val="000000"/>
              </w:rPr>
              <w:object w:dxaOrig="1540" w:dyaOrig="280">
                <v:shape id="_x0000_i1026" type="#_x0000_t75" style="width:77.25pt;height:14.25pt;visibility:visible" o:ole="">
                  <v:imagedata r:id="rId22" o:title=""/>
                  <v:path o:extrusionok="t"/>
                </v:shape>
                <o:OLEObject Type="Embed" ShapeID="_x0000_i1026" DrawAspect="Content" ObjectID="_1714471014" r:id="rId23"/>
              </w:object>
            </w:r>
            <w:r>
              <w:rPr>
                <w:color w:val="000000"/>
              </w:rPr>
              <w:t xml:space="preserve"> имеет единственный корень на отрезке: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[1; 1,5];  2) [0; 0,5]; 3) [0,5; 1];   4) [-0,5; 0]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Вычислите по формуле трапеций</w:t>
            </w:r>
            <w:r>
              <w:rPr>
                <w:color w:val="000000"/>
              </w:rPr>
              <w:object w:dxaOrig="480" w:dyaOrig="720">
                <v:shape id="_x0000_i1027" type="#_x0000_t75" style="width:24pt;height:36pt;visibility:visible" o:ole="">
                  <v:imagedata r:id="rId24" o:title=""/>
                  <v:path o:extrusionok="t"/>
                </v:shape>
                <o:OLEObject Type="Embed" ShapeID="_x0000_i1027" DrawAspect="Content" ObjectID="_1714471015" r:id="rId25"/>
              </w:object>
            </w:r>
            <w:r>
              <w:rPr>
                <w:color w:val="000000"/>
              </w:rPr>
              <w:t>, приняв n = 5: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0,692;     2) 0,696;    3) 0,691;    4) 0,693.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Оцените погрешность вычисления интеграла (см. вопрос №3) по формуле трапеций: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0,005;    2) 0,002;    3) 0,003;   4) 0,007.</w:t>
            </w:r>
          </w:p>
        </w:tc>
      </w:tr>
      <w:tr w:rsidR="00D74897">
        <w:trPr>
          <w:trHeight w:val="1579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 рисунке представлена геометрическая иллюстрация формулы:</w:t>
            </w:r>
            <w:r>
              <w:rPr>
                <w:noProof/>
              </w:rPr>
              <w:drawing>
                <wp:anchor distT="0" distB="0" distL="114300" distR="114300" simplePos="0" relativeHeight="251655680" behindDoc="0" locked="0" layoutInCell="1" hidden="0" allowOverlap="1">
                  <wp:simplePos x="0" y="0"/>
                  <wp:positionH relativeFrom="column">
                    <wp:posOffset>-65404</wp:posOffset>
                  </wp:positionH>
                  <wp:positionV relativeFrom="paragraph">
                    <wp:posOffset>0</wp:posOffset>
                  </wp:positionV>
                  <wp:extent cx="1732915" cy="984885"/>
                  <wp:effectExtent l="0" t="0" r="0" b="0"/>
                  <wp:wrapSquare wrapText="bothSides" distT="0" distB="0" distL="114300" distR="114300"/>
                  <wp:docPr id="4" name="image2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.png"/>
                          <pic:cNvPicPr preferRelativeResize="0"/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2915" cy="98488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левых прямоугольников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2) правых прямоугольников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3) средних прямоугольников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4) трапеций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Для формулы трапеций справедлива следующая оценка погрешности: (здесь: </w:t>
            </w:r>
            <w:r>
              <w:rPr>
                <w:i/>
                <w:color w:val="000000"/>
              </w:rPr>
              <w:t>а</w:t>
            </w:r>
            <w:r>
              <w:rPr>
                <w:color w:val="000000"/>
              </w:rPr>
              <w:t xml:space="preserve">, </w:t>
            </w:r>
            <w:r>
              <w:rPr>
                <w:i/>
                <w:color w:val="000000"/>
              </w:rPr>
              <w:t>b</w:t>
            </w:r>
            <w:r>
              <w:rPr>
                <w:color w:val="000000"/>
              </w:rPr>
              <w:t xml:space="preserve"> – пределы интегрирования, </w:t>
            </w:r>
            <w:r>
              <w:rPr>
                <w:i/>
                <w:color w:val="000000"/>
              </w:rPr>
              <w:t>h</w:t>
            </w:r>
            <w:r>
              <w:rPr>
                <w:color w:val="000000"/>
              </w:rPr>
              <w:t xml:space="preserve"> – шаг разбиения, </w:t>
            </w:r>
            <w:r>
              <w:rPr>
                <w:i/>
                <w:color w:val="000000"/>
              </w:rPr>
              <w:t>I</w:t>
            </w:r>
            <w:r>
              <w:rPr>
                <w:color w:val="000000"/>
              </w:rPr>
              <w:t xml:space="preserve"> – точное значение интеграла,  </w:t>
            </w:r>
            <w:r>
              <w:rPr>
                <w:i/>
                <w:color w:val="000000"/>
              </w:rPr>
              <w:t>I</w:t>
            </w:r>
            <w:r>
              <w:rPr>
                <w:color w:val="000000"/>
                <w:vertAlign w:val="superscript"/>
              </w:rPr>
              <w:t>*</w:t>
            </w:r>
            <w:bookmarkStart w:id="1" w:name="bookmark=id.gjdgxs" w:colFirst="0" w:colLast="0"/>
            <w:bookmarkEnd w:id="1"/>
            <w:r>
              <w:rPr>
                <w:color w:val="000000"/>
              </w:rPr>
              <w:t xml:space="preserve"> - приближенное значение интеграла, </w:t>
            </w:r>
            <w:r>
              <w:rPr>
                <w:color w:val="000000"/>
              </w:rPr>
              <w:object w:dxaOrig="280" w:dyaOrig="300">
                <v:shape id="_x0000_i1028" type="#_x0000_t75" style="width:14.25pt;height:15pt;visibility:visible" o:ole="">
                  <v:imagedata r:id="rId27" o:title=""/>
                  <v:path o:extrusionok="t"/>
                </v:shape>
                <o:OLEObject Type="Embed" ShapeID="_x0000_i1028" DrawAspect="Content" ObjectID="_1714471016" r:id="rId28"/>
              </w:object>
            </w:r>
            <w:r>
              <w:rPr>
                <w:color w:val="000000"/>
              </w:rPr>
              <w:t xml:space="preserve"> - максимальное значение </w:t>
            </w:r>
            <w:r>
              <w:rPr>
                <w:i/>
                <w:color w:val="000000"/>
              </w:rPr>
              <w:t>i</w:t>
            </w:r>
            <w:r>
              <w:rPr>
                <w:color w:val="000000"/>
              </w:rPr>
              <w:t xml:space="preserve"> -ой производной подынтегральной функции на промежутке [а;b])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1) </w:t>
            </w:r>
            <w:r>
              <w:rPr>
                <w:color w:val="000000"/>
              </w:rPr>
              <w:object w:dxaOrig="2120" w:dyaOrig="640">
                <v:shape id="_x0000_i1029" type="#_x0000_t75" style="width:105.75pt;height:32.25pt;visibility:visible" o:ole="">
                  <v:imagedata r:id="rId29" o:title=""/>
                  <v:path o:extrusionok="t"/>
                </v:shape>
                <o:OLEObject Type="Embed" ShapeID="_x0000_i1029" DrawAspect="Content" ObjectID="_1714471017" r:id="rId30"/>
              </w:object>
            </w:r>
            <w:r>
              <w:rPr>
                <w:color w:val="000000"/>
              </w:rPr>
              <w:t xml:space="preserve">;  2) </w:t>
            </w:r>
            <w:r>
              <w:rPr>
                <w:color w:val="000000"/>
              </w:rPr>
              <w:object w:dxaOrig="2160" w:dyaOrig="660">
                <v:shape id="_x0000_i1030" type="#_x0000_t75" style="width:108pt;height:33pt;visibility:visible" o:ole="">
                  <v:imagedata r:id="rId31" o:title=""/>
                  <v:path o:extrusionok="t"/>
                </v:shape>
                <o:OLEObject Type="Embed" ShapeID="_x0000_i1030" DrawAspect="Content" ObjectID="_1714471018" r:id="rId32"/>
              </w:object>
            </w:r>
            <w:r>
              <w:rPr>
                <w:color w:val="000000"/>
              </w:rPr>
              <w:t>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3) </w:t>
            </w:r>
            <w:r>
              <w:rPr>
                <w:color w:val="000000"/>
              </w:rPr>
              <w:object w:dxaOrig="2160" w:dyaOrig="600">
                <v:shape id="_x0000_i1031" type="#_x0000_t75" style="width:108pt;height:30pt;visibility:visible" o:ole="">
                  <v:imagedata r:id="rId33" o:title=""/>
                  <v:path o:extrusionok="t"/>
                </v:shape>
                <o:OLEObject Type="Embed" ShapeID="_x0000_i1031" DrawAspect="Content" ObjectID="_1714471019" r:id="rId34"/>
              </w:object>
            </w:r>
            <w:r>
              <w:rPr>
                <w:color w:val="000000"/>
              </w:rPr>
              <w:t xml:space="preserve">; 4) </w:t>
            </w:r>
            <w:r>
              <w:rPr>
                <w:color w:val="000000"/>
              </w:rPr>
              <w:object w:dxaOrig="2100" w:dyaOrig="600">
                <v:shape id="_x0000_i1032" type="#_x0000_t75" style="width:105pt;height:30pt;visibility:visible" o:ole="">
                  <v:imagedata r:id="rId35" o:title=""/>
                  <v:path o:extrusionok="t"/>
                </v:shape>
                <o:OLEObject Type="Embed" ShapeID="_x0000_i1032" DrawAspect="Content" ObjectID="_1714471020" r:id="rId36"/>
              </w:object>
            </w:r>
            <w:r>
              <w:rPr>
                <w:color w:val="000000"/>
              </w:rPr>
              <w:t>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Квадратурная формула средних прямоугольников – это: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1) </w:t>
            </w:r>
            <w:r>
              <w:rPr>
                <w:color w:val="000000"/>
              </w:rPr>
              <w:object w:dxaOrig="2180" w:dyaOrig="600">
                <v:shape id="_x0000_i1033" type="#_x0000_t75" style="width:108.75pt;height:30pt;visibility:visible" o:ole="">
                  <v:imagedata r:id="rId37" o:title=""/>
                  <v:path o:extrusionok="t"/>
                </v:shape>
                <o:OLEObject Type="Embed" ShapeID="_x0000_i1033" DrawAspect="Content" ObjectID="_1714471021" r:id="rId38"/>
              </w:object>
            </w:r>
            <w:r>
              <w:rPr>
                <w:color w:val="000000"/>
              </w:rPr>
              <w:t>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2) </w:t>
            </w:r>
            <w:r>
              <w:rPr>
                <w:color w:val="000000"/>
              </w:rPr>
              <w:object w:dxaOrig="3220" w:dyaOrig="640">
                <v:shape id="_x0000_i1034" type="#_x0000_t75" style="width:161.25pt;height:32.25pt;visibility:visible" o:ole="">
                  <v:imagedata r:id="rId39" o:title=""/>
                  <v:path o:extrusionok="t"/>
                </v:shape>
                <o:OLEObject Type="Embed" ShapeID="_x0000_i1034" DrawAspect="Content" ObjectID="_1714471022" r:id="rId40"/>
              </w:object>
            </w:r>
            <w:r>
              <w:rPr>
                <w:color w:val="000000"/>
              </w:rPr>
              <w:t>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3)</w:t>
            </w:r>
            <w:r>
              <w:rPr>
                <w:color w:val="000000"/>
              </w:rPr>
              <w:object w:dxaOrig="3800" w:dyaOrig="540">
                <v:shape id="_x0000_i1035" type="#_x0000_t75" style="width:189.75pt;height:27pt;visibility:visible" o:ole="">
                  <v:imagedata r:id="rId41" o:title=""/>
                  <v:path o:extrusionok="t"/>
                </v:shape>
                <o:OLEObject Type="Embed" ShapeID="_x0000_i1035" DrawAspect="Content" ObjectID="_1714471023" r:id="rId42"/>
              </w:object>
            </w:r>
            <w:r>
              <w:rPr>
                <w:color w:val="000000"/>
              </w:rPr>
              <w:t>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4) </w:t>
            </w:r>
            <w:r>
              <w:rPr>
                <w:color w:val="000000"/>
              </w:rPr>
              <w:object w:dxaOrig="1620" w:dyaOrig="600">
                <v:shape id="_x0000_i1036" type="#_x0000_t75" style="width:81pt;height:30pt;visibility:visible" o:ole="">
                  <v:imagedata r:id="rId43" o:title=""/>
                  <v:path o:extrusionok="t"/>
                </v:shape>
                <o:OLEObject Type="Embed" ShapeID="_x0000_i1036" DrawAspect="Content" ObjectID="_1714471024" r:id="rId44"/>
              </w:object>
            </w:r>
            <w:r>
              <w:rPr>
                <w:color w:val="000000"/>
              </w:rPr>
              <w:t>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Методом половинного деления уточните с погрешностью 0,1 корень уравнения</w:t>
            </w:r>
            <w:r>
              <w:rPr>
                <w:color w:val="000000"/>
              </w:rPr>
              <w:br/>
            </w:r>
            <w:r>
              <w:rPr>
                <w:i/>
                <w:color w:val="000000"/>
              </w:rPr>
              <w:t>х</w:t>
            </w:r>
            <w:r>
              <w:rPr>
                <w:i/>
                <w:color w:val="000000"/>
                <w:vertAlign w:val="superscript"/>
              </w:rPr>
              <w:t>4</w:t>
            </w:r>
            <w:r>
              <w:rPr>
                <w:color w:val="000000"/>
              </w:rPr>
              <w:t xml:space="preserve">– </w:t>
            </w:r>
            <w:r>
              <w:rPr>
                <w:i/>
                <w:color w:val="000000"/>
              </w:rPr>
              <w:t xml:space="preserve">х </w:t>
            </w:r>
            <w:r>
              <w:rPr>
                <w:color w:val="000000"/>
              </w:rPr>
              <w:t>– 1 = 0 на [1;2].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1,1;            2) 1,2;          3) 1,3;        4) 1,4.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 рисунке представлена геометрическая интерпретация метода:</w:t>
            </w: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hidden="0" allowOverlap="1">
                  <wp:simplePos x="0" y="0"/>
                  <wp:positionH relativeFrom="column">
                    <wp:posOffset>-65404</wp:posOffset>
                  </wp:positionH>
                  <wp:positionV relativeFrom="paragraph">
                    <wp:posOffset>0</wp:posOffset>
                  </wp:positionV>
                  <wp:extent cx="1466850" cy="1376045"/>
                  <wp:effectExtent l="0" t="0" r="0" b="0"/>
                  <wp:wrapSquare wrapText="bothSides" distT="0" distB="0" distL="114300" distR="114300"/>
                  <wp:docPr id="3" name="image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.png"/>
                          <pic:cNvPicPr preferRelativeResize="0"/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137604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простых итераций;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2) Ньютона;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3) бисекции;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4) Зейделя.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Какие методы вычисления определённого интеграла не являются приближёнными?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прямоугольников;   2) треугольников;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3) трапеций;        4) Ньютона-Лейбница.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Процесс, представленный на рисунке, </w:t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hidden="0" allowOverlap="1">
                  <wp:simplePos x="0" y="0"/>
                  <wp:positionH relativeFrom="column">
                    <wp:posOffset>-57784</wp:posOffset>
                  </wp:positionH>
                  <wp:positionV relativeFrom="paragraph">
                    <wp:posOffset>8890</wp:posOffset>
                  </wp:positionV>
                  <wp:extent cx="1419225" cy="1032510"/>
                  <wp:effectExtent l="0" t="0" r="0" b="0"/>
                  <wp:wrapSquare wrapText="bothSides" distT="0" distB="0" distL="114300" distR="114300"/>
                  <wp:docPr id="2" name="image1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.png"/>
                          <pic:cNvPicPr preferRelativeResize="0"/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0325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1)  сходится;  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2) расходится.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 итераций для решения системы алгебраических уравнений сходится, если: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модули диагональных коэффициентов меньше суммы модулей всех остальных коэффициентов;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2) модули диагональных коэффициентов равны сумме модулей всех остальных коэффициентов;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3) мо</w:t>
            </w:r>
            <w:r>
              <w:rPr>
                <w:color w:val="000000"/>
              </w:rPr>
              <w:t>дули диагональных коэффициентов больше суммы модулей всех остальных коэффициентов;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4) модули диагональных коэффициентов равны сумме квадратов всех остальных коэффициентов.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 какому типу методов относится метод Гаусса?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прямой;                     2) итерационный.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Укажите итерационную формулу метода простой итерации для решения нелинейного уравнения: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1) х</w:t>
            </w:r>
            <w:r>
              <w:rPr>
                <w:color w:val="000000"/>
                <w:highlight w:val="white"/>
                <w:vertAlign w:val="subscript"/>
              </w:rPr>
              <w:t xml:space="preserve">n+1 </w:t>
            </w:r>
            <w:r>
              <w:rPr>
                <w:color w:val="000000"/>
                <w:highlight w:val="white"/>
              </w:rPr>
              <w:t>= φ(х</w:t>
            </w:r>
            <w:r>
              <w:rPr>
                <w:color w:val="000000"/>
                <w:highlight w:val="white"/>
                <w:vertAlign w:val="subscript"/>
              </w:rPr>
              <w:t>n</w:t>
            </w:r>
            <w:r>
              <w:rPr>
                <w:color w:val="000000"/>
                <w:highlight w:val="white"/>
              </w:rPr>
              <w:t>);                    2) х</w:t>
            </w:r>
            <w:r>
              <w:rPr>
                <w:color w:val="000000"/>
                <w:highlight w:val="white"/>
                <w:vertAlign w:val="subscript"/>
              </w:rPr>
              <w:t>n</w:t>
            </w:r>
            <w:r>
              <w:rPr>
                <w:color w:val="000000"/>
                <w:highlight w:val="white"/>
              </w:rPr>
              <w:t>+1 = φ(x</w:t>
            </w:r>
            <w:r>
              <w:rPr>
                <w:color w:val="000000"/>
                <w:highlight w:val="white"/>
                <w:vertAlign w:val="subscript"/>
              </w:rPr>
              <w:t>n</w:t>
            </w:r>
            <w:r>
              <w:rPr>
                <w:color w:val="000000"/>
                <w:highlight w:val="white"/>
              </w:rPr>
              <w:t>);</w:t>
            </w:r>
            <w:r>
              <w:rPr>
                <w:color w:val="000000"/>
              </w:rPr>
              <w:br/>
            </w:r>
            <w:r>
              <w:rPr>
                <w:color w:val="000000"/>
                <w:highlight w:val="white"/>
              </w:rPr>
              <w:t>3) 0 = φ(х</w:t>
            </w:r>
            <w:r>
              <w:rPr>
                <w:color w:val="000000"/>
                <w:highlight w:val="white"/>
                <w:vertAlign w:val="subscript"/>
              </w:rPr>
              <w:t>n</w:t>
            </w:r>
            <w:r>
              <w:rPr>
                <w:color w:val="000000"/>
                <w:highlight w:val="white"/>
              </w:rPr>
              <w:t>);                         4) х</w:t>
            </w:r>
            <w:r>
              <w:rPr>
                <w:color w:val="000000"/>
                <w:highlight w:val="white"/>
                <w:vertAlign w:val="subscript"/>
              </w:rPr>
              <w:t xml:space="preserve">n-1 </w:t>
            </w:r>
            <w:r>
              <w:rPr>
                <w:color w:val="000000"/>
                <w:highlight w:val="white"/>
              </w:rPr>
              <w:t>= φ(х</w:t>
            </w:r>
            <w:r>
              <w:rPr>
                <w:color w:val="000000"/>
                <w:highlight w:val="white"/>
                <w:vertAlign w:val="subscript"/>
              </w:rPr>
              <w:t>n</w:t>
            </w:r>
            <w:r>
              <w:rPr>
                <w:color w:val="000000"/>
                <w:highlight w:val="white"/>
              </w:rPr>
              <w:t>).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Укажите первую теорему Больцано-Коши:</w:t>
            </w:r>
            <w:r>
              <w:rPr>
                <w:color w:val="000000"/>
              </w:rPr>
              <w:br/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1) </w:t>
            </w:r>
            <w:r>
              <w:rPr>
                <w:color w:val="000000"/>
              </w:rPr>
              <w:t xml:space="preserve">Если </w:t>
            </w:r>
            <w:r>
              <w:rPr>
                <w:color w:val="000000"/>
                <w:highlight w:val="white"/>
              </w:rPr>
              <w:t xml:space="preserve">f(x) </w:t>
            </w:r>
            <w:r>
              <w:rPr>
                <w:color w:val="000000"/>
              </w:rPr>
              <w:t xml:space="preserve">строго монотонна на отрезке </w:t>
            </w:r>
            <w:r>
              <w:rPr>
                <w:color w:val="000000"/>
                <w:highlight w:val="white"/>
              </w:rPr>
              <w:t>[α;b]</w:t>
            </w:r>
            <w:r>
              <w:rPr>
                <w:color w:val="000000"/>
              </w:rPr>
              <w:t>, то на нем не может быть более одного корня уравнения.</w:t>
            </w:r>
            <w:r>
              <w:rPr>
                <w:color w:val="000000"/>
              </w:rPr>
              <w:br/>
            </w:r>
            <w:r>
              <w:rPr>
                <w:color w:val="000000"/>
                <w:highlight w:val="white"/>
              </w:rPr>
              <w:t>2) Из любой ограниченной последовательности можно выделить сходящуюся подпоследовательность.  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3) Если функция f(x) определена и непрерывна на отрезке [α;b] и принимает на его концах значения разных знаков, то на[α;b] содержится, по меньшей мере, один корень уравнения f(x)=0.</w:t>
            </w:r>
            <w:r>
              <w:rPr>
                <w:color w:val="000000"/>
              </w:rPr>
              <w:br/>
            </w:r>
            <w:r>
              <w:rPr>
                <w:color w:val="000000"/>
                <w:highlight w:val="white"/>
              </w:rPr>
              <w:t>4) Если функция f(x) непрерывна в интервале, то в интервале должна существ</w:t>
            </w:r>
            <w:r>
              <w:rPr>
                <w:color w:val="000000"/>
                <w:highlight w:val="white"/>
              </w:rPr>
              <w:t>овать по крайней мере одна точка, в которой функция f(x) достигает своего наибольшего значения, и другая точка, в которой функция f(x) достигает своего наименьшего значения m.   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Метод позволяющий получить корни системы с заданной погрешностью путем сход</w:t>
            </w:r>
            <w:r>
              <w:rPr>
                <w:color w:val="000000"/>
                <w:highlight w:val="white"/>
              </w:rPr>
              <w:t>ящихся бесконечных процессов – это: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1) итерационный метод</w:t>
            </w:r>
            <w:r>
              <w:rPr>
                <w:color w:val="000000"/>
              </w:rPr>
              <w:br/>
            </w:r>
            <w:r>
              <w:rPr>
                <w:color w:val="000000"/>
                <w:highlight w:val="white"/>
              </w:rPr>
              <w:t>2) точный метод</w:t>
            </w:r>
            <w:r>
              <w:rPr>
                <w:color w:val="000000"/>
              </w:rPr>
              <w:br/>
            </w:r>
            <w:r>
              <w:rPr>
                <w:color w:val="000000"/>
                <w:highlight w:val="white"/>
              </w:rPr>
              <w:t>3) приближенный метод</w:t>
            </w:r>
            <w:r>
              <w:rPr>
                <w:color w:val="000000"/>
              </w:rPr>
              <w:br/>
            </w:r>
            <w:r>
              <w:rPr>
                <w:color w:val="000000"/>
                <w:highlight w:val="white"/>
              </w:rPr>
              <w:t>4) точечный метод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Найдите параболу </w:t>
            </w:r>
            <w:r>
              <w:rPr>
                <w:color w:val="000000"/>
              </w:rPr>
              <w:object w:dxaOrig="1680" w:dyaOrig="360">
                <v:shape id="_x0000_i1037" type="#_x0000_t75" style="width:84pt;height:18pt;visibility:visible" o:ole="">
                  <v:imagedata r:id="rId47" o:title=""/>
                  <v:path o:extrusionok="t"/>
                </v:shape>
                <o:OLEObject Type="Embed" ShapeID="_x0000_i1037" DrawAspect="Content" ObjectID="_1714471025" r:id="rId48"/>
              </w:object>
            </w:r>
            <w:r>
              <w:rPr>
                <w:color w:val="000000"/>
              </w:rPr>
              <w:t>, которая проходит через три точки (1; 1), (2; -1), (3; 1).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Найдите приближенно </w:t>
            </w:r>
            <w:r>
              <w:rPr>
                <w:color w:val="000000"/>
              </w:rPr>
              <w:object w:dxaOrig="720" w:dyaOrig="320">
                <v:shape id="_x0000_i1038" type="#_x0000_t75" style="width:36pt;height:15.75pt;visibility:visible" o:ole="">
                  <v:imagedata r:id="rId49" o:title=""/>
                  <v:path o:extrusionok="t"/>
                </v:shape>
                <o:OLEObject Type="Embed" ShapeID="_x0000_i1038" DrawAspect="Content" ObjectID="_1714471026" r:id="rId50"/>
              </w:object>
            </w:r>
            <w:r>
              <w:rPr>
                <w:color w:val="000000"/>
              </w:rPr>
              <w:t xml:space="preserve"> с погрешностью ε = 0,01 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Дана СЛАУ </w:t>
            </w:r>
            <w:r>
              <w:rPr>
                <w:color w:val="000000"/>
              </w:rPr>
              <w:object w:dxaOrig="2060" w:dyaOrig="1120">
                <v:shape id="_x0000_i1039" type="#_x0000_t75" style="width:102.75pt;height:56.25pt;visibility:visible" o:ole="">
                  <v:imagedata r:id="rId51" o:title=""/>
                  <v:path o:extrusionok="t"/>
                </v:shape>
                <o:OLEObject Type="Embed" ShapeID="_x0000_i1039" DrawAspect="Content" ObjectID="_1714471027" r:id="rId52"/>
              </w:object>
            </w:r>
            <w:r>
              <w:rPr>
                <w:color w:val="000000"/>
              </w:rPr>
              <w:t>. Запишите две итерации по методу простых итераций. Вычисления ведите с тремя знаками после запятой.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Вычислите с заданной погрешностью </w:t>
            </w:r>
            <w:r>
              <w:rPr>
                <w:rFonts w:ascii="Symbol" w:eastAsia="Symbol" w:hAnsi="Symbol" w:cs="Symbol"/>
                <w:i/>
                <w:color w:val="000000"/>
              </w:rPr>
              <w:t></w:t>
            </w:r>
            <w:r>
              <w:rPr>
                <w:i/>
                <w:color w:val="000000"/>
              </w:rPr>
              <w:t> </w:t>
            </w:r>
            <w:r>
              <w:rPr>
                <w:color w:val="000000"/>
              </w:rPr>
              <w:t xml:space="preserve">= 0,1 по формуле Симпсона </w:t>
            </w:r>
            <w:r>
              <w:rPr>
                <w:color w:val="000000"/>
              </w:rPr>
              <w:object w:dxaOrig="540" w:dyaOrig="720">
                <v:shape id="_x0000_i1040" type="#_x0000_t75" style="width:27pt;height:36pt;visibility:visible" o:ole="">
                  <v:imagedata r:id="rId53" o:title=""/>
                  <v:path o:extrusionok="t"/>
                </v:shape>
                <o:OLEObject Type="Embed" ShapeID="_x0000_i1040" DrawAspect="Content" ObjectID="_1714471028" r:id="rId54"/>
              </w:object>
            </w:r>
            <w:r>
              <w:rPr>
                <w:color w:val="000000"/>
              </w:rPr>
              <w:t>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 ходе опыта происходит не менее одного события из составляющих полную группу?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Вероятность невозможного события не больше нуля?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Вероятность объединения событий равна сумме вероятностей исходных событий?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Уравнение, связывающее параметр оптимизации с факторами, - это физическая модель?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Дисперсия – это матожидание квадрата случайной величины минус квадрат ее матожидания?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Дисперсия может принимать отрицательные значения?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Модель регрессии, графически представленная на рисунке, адекватна?</w:t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hidden="0" allowOverlap="1">
                  <wp:simplePos x="0" y="0"/>
                  <wp:positionH relativeFrom="column">
                    <wp:posOffset>2541</wp:posOffset>
                  </wp:positionH>
                  <wp:positionV relativeFrom="paragraph">
                    <wp:posOffset>3810</wp:posOffset>
                  </wp:positionV>
                  <wp:extent cx="838200" cy="828040"/>
                  <wp:effectExtent l="0" t="0" r="0" b="0"/>
                  <wp:wrapSquare wrapText="bothSides" distT="0" distB="0" distL="114300" distR="114300"/>
                  <wp:docPr id="1" name="image1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.png"/>
                          <pic:cNvPicPr preferRelativeResize="0"/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8280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При статистической проверке гипотез уровнем значимости называется вероятность допустить ошибку 1-ого рода, т.е. принять неправильную нулевую гипотезу?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При статистической проверке гипотез критическое значение критерия Kкр определяется из таблиц?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Проверка адекватности уравнения регрессии проводится методом проверки статистических гипотезы соответствия формы, вида уравнения регрессии исследуемому объекту?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Для использования формулы полной вероятности необходимо задать полную группу событий?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События А и не А составляют полную группу?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>Зависимые события могут быть совместными?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Для оценки адекватности регрессионной модели используется критерий Фишера?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Если N - объем выборки, то дисперсия единичного измерения больше дисперсии среднего в N раз?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Коридор ошибок представляет собой точечную оценку линии регрессии?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Доверительный эллипсоид – это доверительная область для среднего значения экспериментальных данных?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Провести оценку воспроизводимости измерений по критерию Кохрена для эксперимента, результаты измерений которого приведены в таблице:</w:t>
            </w:r>
          </w:p>
          <w:tbl>
            <w:tblPr>
              <w:tblStyle w:val="afff4"/>
              <w:tblW w:w="178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8"/>
              <w:gridCol w:w="390"/>
              <w:gridCol w:w="470"/>
              <w:gridCol w:w="470"/>
            </w:tblGrid>
            <w:tr w:rsidR="00D74897">
              <w:tc>
                <w:tcPr>
                  <w:tcW w:w="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№</w:t>
                  </w: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X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Y</w:t>
                  </w:r>
                  <w:r>
                    <w:rPr>
                      <w:b/>
                      <w:color w:val="000000"/>
                      <w:vertAlign w:val="subscript"/>
                    </w:rPr>
                    <w:t>1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Y</w:t>
                  </w:r>
                  <w:r>
                    <w:rPr>
                      <w:b/>
                      <w:color w:val="000000"/>
                      <w:vertAlign w:val="subscript"/>
                    </w:rPr>
                    <w:t>2</w:t>
                  </w:r>
                </w:p>
              </w:tc>
            </w:tr>
            <w:tr w:rsidR="00D74897">
              <w:tc>
                <w:tcPr>
                  <w:tcW w:w="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D74897">
              <w:tc>
                <w:tcPr>
                  <w:tcW w:w="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</w:tc>
            </w:tr>
            <w:tr w:rsidR="00D74897">
              <w:tc>
                <w:tcPr>
                  <w:tcW w:w="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</w:tr>
            <w:tr w:rsidR="00D74897">
              <w:tc>
                <w:tcPr>
                  <w:tcW w:w="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</w:t>
                  </w: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</w:tr>
          </w:tbl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Записать информационную матрицу Фишера для эксперимента, результаты измерений которого приведены в таблице к предыдущему вопросу, если регрессионная модель имеет вид: </w:t>
            </w:r>
            <w:r>
              <w:rPr>
                <w:color w:val="000000"/>
              </w:rPr>
              <w:object w:dxaOrig="1300" w:dyaOrig="360">
                <v:shape id="_x0000_i1041" type="#_x0000_t75" style="width:65.25pt;height:18pt;visibility:visible" o:ole="">
                  <v:imagedata r:id="rId56" o:title=""/>
                  <v:path o:extrusionok="t"/>
                </v:shape>
                <o:OLEObject Type="Embed" ShapeID="_x0000_i1041" DrawAspect="Content" ObjectID="_1714471029" r:id="rId57"/>
              </w:object>
            </w:r>
            <w:r>
              <w:rPr>
                <w:color w:val="000000"/>
              </w:rPr>
              <w:t>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  <w:tbl>
            <w:tblPr>
              <w:tblStyle w:val="afff5"/>
              <w:tblW w:w="1853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89"/>
              <w:gridCol w:w="336"/>
              <w:gridCol w:w="336"/>
              <w:gridCol w:w="336"/>
              <w:gridCol w:w="456"/>
            </w:tblGrid>
            <w:tr w:rsidR="00D74897"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Х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3 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D74897"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Y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6 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7 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9 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</w:tr>
          </w:tbl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Определить коэффициент </w:t>
            </w:r>
            <w:r>
              <w:rPr>
                <w:i/>
                <w:color w:val="000000"/>
              </w:rPr>
              <w:t>a</w:t>
            </w:r>
            <w:r>
              <w:rPr>
                <w:color w:val="000000"/>
              </w:rPr>
              <w:t xml:space="preserve"> линейной регрессии: у = </w:t>
            </w:r>
            <w:r>
              <w:rPr>
                <w:i/>
                <w:color w:val="000000"/>
              </w:rPr>
              <w:t>а</w:t>
            </w:r>
            <w:r>
              <w:rPr>
                <w:color w:val="000000"/>
              </w:rPr>
              <w:t xml:space="preserve"> + </w:t>
            </w:r>
            <w:r>
              <w:rPr>
                <w:i/>
                <w:color w:val="000000"/>
              </w:rPr>
              <w:t>bх</w:t>
            </w:r>
            <w:r>
              <w:rPr>
                <w:color w:val="000000"/>
              </w:rPr>
              <w:t xml:space="preserve"> для экспериментальных данных, заданных таблично: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  <w:sectPr w:rsidR="00D74897">
          <w:pgSz w:w="11906" w:h="16838"/>
          <w:pgMar w:top="851" w:right="851" w:bottom="851" w:left="1701" w:header="567" w:footer="510" w:gutter="0"/>
          <w:cols w:space="720"/>
        </w:sect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lastRenderedPageBreak/>
        <w:t>Приложение 2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указания для обучающихся по освоению дисциплины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Общие рекомендации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студента путем планомерной, повседневной работ</w:t>
      </w:r>
      <w:r>
        <w:rPr>
          <w:color w:val="000000"/>
        </w:rPr>
        <w:t>ы.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Работа с конспектом лекций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</w:t>
      </w:r>
      <w:r>
        <w:rPr>
          <w:color w:val="000000"/>
        </w:rPr>
        <w:t xml:space="preserve">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Регулярно отводите время для повторения пройденного материала, проверяя свои знания, умения и навыки по контрольн</w:t>
      </w:r>
      <w:r>
        <w:rPr>
          <w:color w:val="000000"/>
        </w:rPr>
        <w:t>ым вопросам.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Выполнение лабораторных заданий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Лабораторные занятия имеют важнейшее значение для лучшего усвоения пройденных материалов. Перед посещением занятий необходимо повторить лекционный материал и рекомендуемую литературу. При изучении литературных </w:t>
      </w:r>
      <w:r>
        <w:rPr>
          <w:color w:val="000000"/>
        </w:rPr>
        <w:t>источников необходимо обратить внимание на возникающие вопросы. Если самостоятельно не удалось разобраться с пройденным материалом обратитесь к преподавателю на ближайшем занятии.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При выполнении заданий, выданных преподавателем, необходимо пользоваться тео</w:t>
      </w:r>
      <w:r>
        <w:rPr>
          <w:color w:val="000000"/>
        </w:rPr>
        <w:t xml:space="preserve">ретическими и практическими сведениями, полученными на лекционных занятиях. При возникновении вопросов по ходу выполнения заданий преподавателя необходимо обратиться к преподавателю за консультацией. 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Выполнение расчётно-графической работы (контрольной ра</w:t>
      </w:r>
      <w:r>
        <w:rPr>
          <w:b/>
          <w:color w:val="000000"/>
        </w:rPr>
        <w:t>боты)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На занятии получите у преподавателя методические указания для выполнения расчётно-графической работы (РГР) (контрольной работы (КР)). Начинайте выполнение РГР (КР) после соответствующего изучения материала по тематике работы. РГР (КР) выполняется по </w:t>
      </w:r>
      <w:r>
        <w:rPr>
          <w:color w:val="000000"/>
        </w:rPr>
        <w:t>вариантам и в соответствии с установленными сроками.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</w:t>
      </w:r>
      <w:r>
        <w:rPr>
          <w:color w:val="000000"/>
        </w:rPr>
        <w:t>елю на консультации. Для подготовки к защите РГР (КР) пользуйтесь лекционными материалами и рекомендуемой литературой.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  <w:sectPr w:rsidR="00D74897">
          <w:footerReference w:type="default" r:id="rId58"/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Зачёт:</w:t>
      </w:r>
    </w:p>
    <w:p w:rsidR="00D74897" w:rsidRDefault="00D74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u w:val="single"/>
        </w:rPr>
      </w:pPr>
      <w:r>
        <w:rPr>
          <w:color w:val="000000"/>
          <w:u w:val="single"/>
        </w:rPr>
        <w:t>Критерии оценки:</w:t>
      </w:r>
    </w:p>
    <w:p w:rsidR="00D74897" w:rsidRDefault="00D74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Зачёт ставится при правильных ответах на тестовые вопросы не менее 60 %.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Расчётно-графическая работа (контрольная работа):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u w:val="single"/>
        </w:rPr>
      </w:pPr>
      <w:r>
        <w:rPr>
          <w:color w:val="000000"/>
          <w:u w:val="single"/>
        </w:rPr>
        <w:t>Критерии оценки: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 xml:space="preserve">Зачтено – </w:t>
      </w:r>
      <w:r>
        <w:rPr>
          <w:color w:val="000000"/>
        </w:rPr>
        <w:t>РГР (КР) достаточно полно раскрывает сущность вопроса, не содержат ошибок принципиального характера и выполнена в соответствии с перечисленными методами, задача решена правильно, но оформлена с ошибками (указаны не все единицы измерения электрических велич</w:t>
      </w:r>
      <w:r>
        <w:rPr>
          <w:color w:val="000000"/>
        </w:rPr>
        <w:t>ин, отсутствуют пояснения некоторых пунктов решения задачи, но ход решения в принципе понятен);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Незачет –</w:t>
      </w:r>
      <w:r>
        <w:rPr>
          <w:color w:val="000000"/>
        </w:rPr>
        <w:t xml:space="preserve"> РГР (КР) не раскрывает сущность вопроса, содержит ошибки принципиального характера, является копией разделов книги или интернет – ресурсов, задача реш</w:t>
      </w:r>
      <w:r>
        <w:rPr>
          <w:color w:val="000000"/>
        </w:rPr>
        <w:t>ена неверно, либо задача решена верно, но оформлена с ошибками (отсутствуют единицы измерения электрических величин, отсутствуют пояснения хода решения, отсутствуют необходимые для решения формулы). Работа возвращается студенту для устранения указанных зам</w:t>
      </w:r>
      <w:r>
        <w:rPr>
          <w:color w:val="000000"/>
        </w:rPr>
        <w:t>ечаний.</w:t>
      </w:r>
    </w:p>
    <w:sectPr w:rsidR="00D74897">
      <w:pgSz w:w="11906" w:h="16838"/>
      <w:pgMar w:top="851" w:right="851" w:bottom="851" w:left="1701" w:header="567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A21" w:rsidRDefault="00A37A21">
      <w:pPr>
        <w:spacing w:line="240" w:lineRule="auto"/>
        <w:ind w:left="0" w:hanging="2"/>
      </w:pPr>
      <w:r>
        <w:separator/>
      </w:r>
    </w:p>
  </w:endnote>
  <w:endnote w:type="continuationSeparator" w:id="0">
    <w:p w:rsidR="00A37A21" w:rsidRDefault="00A37A2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TimesNewRomanPSMT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897" w:rsidRDefault="00A37A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DB15A1">
      <w:rPr>
        <w:color w:val="000000"/>
      </w:rPr>
      <w:fldChar w:fldCharType="separate"/>
    </w:r>
    <w:r w:rsidR="00DB15A1">
      <w:rPr>
        <w:noProof/>
        <w:color w:val="000000"/>
      </w:rPr>
      <w:t>2</w:t>
    </w:r>
    <w:r>
      <w:rPr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897" w:rsidRDefault="00A37A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DB15A1">
      <w:rPr>
        <w:color w:val="000000"/>
      </w:rPr>
      <w:fldChar w:fldCharType="separate"/>
    </w:r>
    <w:r w:rsidR="00DB15A1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897" w:rsidRDefault="00D7489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A21" w:rsidRDefault="00A37A21">
      <w:pPr>
        <w:spacing w:line="240" w:lineRule="auto"/>
        <w:ind w:left="0" w:hanging="2"/>
      </w:pPr>
      <w:r>
        <w:separator/>
      </w:r>
    </w:p>
  </w:footnote>
  <w:footnote w:type="continuationSeparator" w:id="0">
    <w:p w:rsidR="00A37A21" w:rsidRDefault="00A37A21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24959"/>
    <w:multiLevelType w:val="multilevel"/>
    <w:tmpl w:val="3AECF80E"/>
    <w:lvl w:ilvl="0">
      <w:start w:val="1"/>
      <w:numFmt w:val="decimal"/>
      <w:lvlText w:val="%1"/>
      <w:lvlJc w:val="left"/>
      <w:pPr>
        <w:ind w:left="284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098D1751"/>
    <w:multiLevelType w:val="multilevel"/>
    <w:tmpl w:val="8BE658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D476931"/>
    <w:multiLevelType w:val="multilevel"/>
    <w:tmpl w:val="98B24ED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26122B56"/>
    <w:multiLevelType w:val="multilevel"/>
    <w:tmpl w:val="645EC1AE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35280AB3"/>
    <w:multiLevelType w:val="multilevel"/>
    <w:tmpl w:val="38FA51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6AB86E56"/>
    <w:multiLevelType w:val="multilevel"/>
    <w:tmpl w:val="5BF894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77E96D5C"/>
    <w:multiLevelType w:val="multilevel"/>
    <w:tmpl w:val="5E6E18D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897"/>
    <w:rsid w:val="00A37A21"/>
    <w:rsid w:val="00D74897"/>
    <w:rsid w:val="00DB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E41DD863-69C3-4E68-886B-6566BC9C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spacing w:before="240" w:after="6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table" w:styleId="a7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paragraph" w:styleId="a9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a">
    <w:name w:val="список с точками"/>
    <w:basedOn w:val="a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pPr>
      <w:jc w:val="center"/>
    </w:pPr>
    <w:rPr>
      <w:i/>
      <w:iCs/>
    </w:rPr>
  </w:style>
  <w:style w:type="paragraph" w:customStyle="1" w:styleId="ab">
    <w:name w:val="Знак"/>
    <w:basedOn w:val="a"/>
    <w:pPr>
      <w:spacing w:after="160" w:line="240" w:lineRule="atLeas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ac">
    <w:name w:val="endnote text"/>
    <w:basedOn w:val="a"/>
    <w:rPr>
      <w:sz w:val="20"/>
      <w:szCs w:val="20"/>
    </w:rPr>
  </w:style>
  <w:style w:type="character" w:customStyle="1" w:styleId="ad">
    <w:name w:val="Текст концевой сноски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e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styleId="af">
    <w:name w:val="footnote text"/>
    <w:basedOn w:val="a"/>
    <w:rPr>
      <w:sz w:val="20"/>
      <w:szCs w:val="20"/>
    </w:rPr>
  </w:style>
  <w:style w:type="character" w:customStyle="1" w:styleId="af0">
    <w:name w:val="Текст сноски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f1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11">
    <w:name w:val="Знак1 Знак Знак Знак Знак Знак Знак Знак Знак Знак"/>
    <w:basedOn w:val="a"/>
    <w:pPr>
      <w:tabs>
        <w:tab w:val="num" w:pos="643"/>
      </w:tabs>
      <w:spacing w:after="160" w:line="240" w:lineRule="atLeas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rPr>
      <w:rFonts w:ascii="Calibri" w:hAnsi="Calibri"/>
      <w:b/>
      <w:b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styleId="af2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f3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FontStyle69">
    <w:name w:val="Font Style69"/>
    <w:rPr>
      <w:rFonts w:ascii="Times New Roman" w:hAnsi="Times New Roman" w:cs="Times New Roman"/>
      <w:i/>
      <w:i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68">
    <w:name w:val="Font Style68"/>
    <w:rPr>
      <w:rFonts w:ascii="Times New Roman" w:hAnsi="Times New Roman" w:cs="Times New Roman"/>
      <w:i/>
      <w:i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67">
    <w:name w:val="Font Style67"/>
    <w:rPr>
      <w:rFonts w:ascii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numbering" w:customStyle="1" w:styleId="12">
    <w:name w:val="Нет списка1"/>
    <w:next w:val="a2"/>
    <w:qFormat/>
  </w:style>
  <w:style w:type="table" w:customStyle="1" w:styleId="13">
    <w:name w:val="Сетка таблицы1"/>
    <w:basedOn w:val="a1"/>
    <w:next w:val="a7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character" w:customStyle="1" w:styleId="af5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6">
    <w:name w:val="Normal (Web)"/>
    <w:basedOn w:val="a"/>
    <w:qFormat/>
    <w:pPr>
      <w:spacing w:before="100" w:beforeAutospacing="1" w:after="100" w:afterAutospacing="1"/>
    </w:pPr>
  </w:style>
  <w:style w:type="character" w:customStyle="1" w:styleId="103">
    <w:name w:val="Заголовок №10 (3)_"/>
    <w:rPr>
      <w:b/>
      <w:bCs/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styleId="af7">
    <w:name w:val="Body Text"/>
    <w:basedOn w:val="a"/>
    <w:pPr>
      <w:shd w:val="clear" w:color="auto" w:fill="FFFFFF"/>
      <w:spacing w:after="1200" w:line="240" w:lineRule="atLeast"/>
    </w:pPr>
    <w:rPr>
      <w:rFonts w:ascii="SimSun" w:eastAsia="SimSun" w:hAnsi="Arial Unicode MS"/>
      <w:spacing w:val="-20"/>
      <w:sz w:val="20"/>
      <w:szCs w:val="20"/>
    </w:rPr>
  </w:style>
  <w:style w:type="character" w:customStyle="1" w:styleId="af8">
    <w:name w:val="Основной текст Знак"/>
    <w:rPr>
      <w:rFonts w:ascii="SimSun" w:eastAsia="SimSun" w:hAnsi="Arial Unicode MS" w:cs="SimSun"/>
      <w:spacing w:val="-20"/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customStyle="1" w:styleId="1030">
    <w:name w:val="Заголовок №10 (3)"/>
    <w:basedOn w:val="a"/>
    <w:pPr>
      <w:shd w:val="clear" w:color="auto" w:fill="FFFFFF"/>
      <w:spacing w:after="600" w:line="240" w:lineRule="atLeast"/>
    </w:pPr>
    <w:rPr>
      <w:b/>
      <w:bCs/>
      <w:sz w:val="20"/>
      <w:szCs w:val="20"/>
    </w:rPr>
  </w:style>
  <w:style w:type="character" w:customStyle="1" w:styleId="0pt">
    <w:name w:val="Основной текст + Интервал 0 pt"/>
    <w:rPr>
      <w:rFonts w:ascii="SimSun" w:eastAsia="SimSun" w:cs="SimSun"/>
      <w:spacing w:val="-10"/>
      <w:w w:val="100"/>
      <w:position w:val="-1"/>
      <w:sz w:val="20"/>
      <w:szCs w:val="20"/>
      <w:effect w:val="none"/>
      <w:vertAlign w:val="baseline"/>
      <w:cs w:val="0"/>
      <w:em w:val="none"/>
      <w:lang w:val="en-US" w:eastAsia="en-US"/>
    </w:rPr>
  </w:style>
  <w:style w:type="character" w:customStyle="1" w:styleId="TimesNewRoman512pt30pt7">
    <w:name w:val="Основной текст + Times New Roman5;12 pt;Полужирный3;Интервал 0 pt7"/>
    <w:rPr>
      <w:rFonts w:ascii="Times New Roman" w:hAnsi="Times New Roman" w:cs="Times New Roman"/>
      <w:b/>
      <w:bCs/>
      <w:spacing w:val="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30">
    <w:name w:val="Основной текст (3)_"/>
    <w:rPr>
      <w:rFonts w:ascii="SimSun" w:eastAsia="SimSun" w:cs="SimSun"/>
      <w:i/>
      <w:iCs/>
      <w:spacing w:val="-20"/>
      <w:w w:val="100"/>
      <w:position w:val="-1"/>
      <w:sz w:val="15"/>
      <w:szCs w:val="15"/>
      <w:effect w:val="none"/>
      <w:shd w:val="clear" w:color="auto" w:fill="FFFFFF"/>
      <w:vertAlign w:val="baseline"/>
      <w:cs w:val="0"/>
      <w:em w:val="none"/>
    </w:rPr>
  </w:style>
  <w:style w:type="character" w:customStyle="1" w:styleId="1031">
    <w:name w:val="Основной текст (103)_"/>
    <w:rPr>
      <w:rFonts w:ascii="SimSun" w:eastAsia="SimSun" w:cs="SimSun"/>
      <w:spacing w:val="-20"/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character" w:customStyle="1" w:styleId="1032">
    <w:name w:val="Основной текст (103)"/>
    <w:rPr>
      <w:rFonts w:ascii="SimSun" w:eastAsia="SimSun" w:cs="SimSun"/>
      <w:spacing w:val="-20"/>
      <w:w w:val="100"/>
      <w:position w:val="-1"/>
      <w:sz w:val="20"/>
      <w:szCs w:val="20"/>
      <w:effect w:val="none"/>
      <w:shd w:val="clear" w:color="auto" w:fill="FFFFFF"/>
      <w:vertAlign w:val="baseline"/>
      <w:cs w:val="0"/>
      <w:em w:val="none"/>
    </w:rPr>
  </w:style>
  <w:style w:type="character" w:customStyle="1" w:styleId="10320">
    <w:name w:val="Основной текст (103)2"/>
    <w:rPr>
      <w:rFonts w:ascii="SimSun" w:eastAsia="SimSun" w:cs="SimSun"/>
      <w:spacing w:val="-20"/>
      <w:w w:val="100"/>
      <w:position w:val="-1"/>
      <w:sz w:val="20"/>
      <w:szCs w:val="20"/>
      <w:effect w:val="none"/>
      <w:shd w:val="clear" w:color="auto" w:fill="FFFFFF"/>
      <w:vertAlign w:val="baseline"/>
      <w:cs w:val="0"/>
      <w:em w:val="none"/>
    </w:rPr>
  </w:style>
  <w:style w:type="character" w:customStyle="1" w:styleId="103Dotum5">
    <w:name w:val="Основной текст (103) + Dotum;Малые прописные5"/>
    <w:rPr>
      <w:rFonts w:ascii="Dotum" w:eastAsia="Dotum" w:cs="Dotum"/>
      <w:smallCaps/>
      <w:spacing w:val="-20"/>
      <w:w w:val="100"/>
      <w:position w:val="-1"/>
      <w:sz w:val="20"/>
      <w:szCs w:val="20"/>
      <w:effect w:val="none"/>
      <w:shd w:val="clear" w:color="auto" w:fill="FFFFFF"/>
      <w:vertAlign w:val="baseline"/>
      <w:cs w:val="0"/>
      <w:em w:val="none"/>
    </w:rPr>
  </w:style>
  <w:style w:type="character" w:customStyle="1" w:styleId="1039pt4">
    <w:name w:val="Основной текст (103) + 9 pt;Малые прописные4"/>
    <w:rPr>
      <w:rFonts w:ascii="SimSun" w:eastAsia="SimSun" w:cs="SimSun"/>
      <w:smallCaps/>
      <w:spacing w:val="-20"/>
      <w:w w:val="100"/>
      <w:position w:val="-1"/>
      <w:sz w:val="18"/>
      <w:szCs w:val="18"/>
      <w:effect w:val="none"/>
      <w:shd w:val="clear" w:color="auto" w:fill="FFFFFF"/>
      <w:vertAlign w:val="baseline"/>
      <w:cs w:val="0"/>
      <w:em w:val="none"/>
    </w:rPr>
  </w:style>
  <w:style w:type="character" w:customStyle="1" w:styleId="103Dotum1915pt430pt4">
    <w:name w:val="Основной текст (103) + Dotum1;91;5 pt4;Малые прописные3;Интервал 0 pt4"/>
    <w:rPr>
      <w:rFonts w:ascii="Dotum" w:eastAsia="Dotum" w:cs="Dotum"/>
      <w:smallCaps/>
      <w:noProof/>
      <w:spacing w:val="0"/>
      <w:w w:val="100"/>
      <w:position w:val="-1"/>
      <w:sz w:val="19"/>
      <w:szCs w:val="19"/>
      <w:effect w:val="none"/>
      <w:shd w:val="clear" w:color="auto" w:fill="FFFFFF"/>
      <w:vertAlign w:val="baseline"/>
      <w:cs w:val="0"/>
      <w:em w:val="none"/>
    </w:rPr>
  </w:style>
  <w:style w:type="paragraph" w:customStyle="1" w:styleId="31">
    <w:name w:val="Основной текст (3)"/>
    <w:basedOn w:val="a"/>
    <w:pPr>
      <w:shd w:val="clear" w:color="auto" w:fill="FFFFFF"/>
      <w:spacing w:line="240" w:lineRule="atLeast"/>
    </w:pPr>
    <w:rPr>
      <w:rFonts w:ascii="SimSun" w:eastAsia="SimSun"/>
      <w:i/>
      <w:iCs/>
      <w:spacing w:val="-20"/>
      <w:sz w:val="15"/>
      <w:szCs w:val="15"/>
    </w:rPr>
  </w:style>
  <w:style w:type="paragraph" w:customStyle="1" w:styleId="10310">
    <w:name w:val="Основной текст (103)1"/>
    <w:basedOn w:val="a"/>
    <w:pPr>
      <w:shd w:val="clear" w:color="auto" w:fill="FFFFFF"/>
      <w:spacing w:before="420" w:after="540" w:line="208" w:lineRule="atLeast"/>
      <w:jc w:val="both"/>
    </w:pPr>
    <w:rPr>
      <w:rFonts w:ascii="SimSun" w:eastAsia="SimSun"/>
      <w:spacing w:val="-20"/>
      <w:sz w:val="20"/>
      <w:szCs w:val="20"/>
    </w:rPr>
  </w:style>
  <w:style w:type="character" w:customStyle="1" w:styleId="20">
    <w:name w:val="Подпись к картинке (2)_"/>
    <w:rPr>
      <w:rFonts w:ascii="SimSun" w:eastAsia="SimSun" w:cs="SimSun"/>
      <w:spacing w:val="-20"/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character" w:customStyle="1" w:styleId="21">
    <w:name w:val="Подпись к картинке (2)"/>
    <w:rPr>
      <w:rFonts w:ascii="SimSun" w:eastAsia="SimSun" w:cs="SimSun"/>
      <w:spacing w:val="-20"/>
      <w:w w:val="100"/>
      <w:position w:val="-1"/>
      <w:sz w:val="20"/>
      <w:szCs w:val="20"/>
      <w:effect w:val="none"/>
      <w:shd w:val="clear" w:color="auto" w:fill="FFFFFF"/>
      <w:vertAlign w:val="baseline"/>
      <w:cs w:val="0"/>
      <w:em w:val="none"/>
    </w:rPr>
  </w:style>
  <w:style w:type="paragraph" w:customStyle="1" w:styleId="210">
    <w:name w:val="Подпись к картинке (2)1"/>
    <w:basedOn w:val="a"/>
    <w:pPr>
      <w:shd w:val="clear" w:color="auto" w:fill="FFFFFF"/>
      <w:spacing w:line="204" w:lineRule="atLeast"/>
      <w:ind w:firstLine="520"/>
      <w:jc w:val="both"/>
    </w:pPr>
    <w:rPr>
      <w:rFonts w:ascii="SimSun" w:eastAsia="SimSun"/>
      <w:spacing w:val="-20"/>
      <w:sz w:val="20"/>
      <w:szCs w:val="20"/>
    </w:rPr>
  </w:style>
  <w:style w:type="character" w:customStyle="1" w:styleId="TimesNewRoman41415pt310pt2">
    <w:name w:val="Основной текст + Times New Roman4;141;5 pt3;Полужирный1;Интервал 0 pt2"/>
    <w:rPr>
      <w:rFonts w:ascii="Times New Roman" w:hAnsi="Times New Roman" w:cs="Times New Roman"/>
      <w:b/>
      <w:bCs/>
      <w:spacing w:val="-10"/>
      <w:w w:val="100"/>
      <w:position w:val="-1"/>
      <w:sz w:val="29"/>
      <w:szCs w:val="29"/>
      <w:effect w:val="none"/>
      <w:vertAlign w:val="baseline"/>
      <w:cs w:val="0"/>
      <w:em w:val="none"/>
    </w:rPr>
  </w:style>
  <w:style w:type="character" w:customStyle="1" w:styleId="725pt22100pt19">
    <w:name w:val="Основной текст + 72;5 pt22;Курсив10;Интервал 0 pt19"/>
    <w:rPr>
      <w:rFonts w:ascii="SimSun" w:eastAsia="SimSun" w:cs="SimSun"/>
      <w:i/>
      <w:iCs/>
      <w:spacing w:val="0"/>
      <w:w w:val="100"/>
      <w:position w:val="-1"/>
      <w:sz w:val="15"/>
      <w:szCs w:val="15"/>
      <w:effect w:val="none"/>
      <w:vertAlign w:val="baseline"/>
      <w:cs w:val="0"/>
      <w:em w:val="none"/>
    </w:rPr>
  </w:style>
  <w:style w:type="character" w:customStyle="1" w:styleId="9pt11">
    <w:name w:val="Основной текст + 9 pt1;Малые прописные1"/>
    <w:rPr>
      <w:rFonts w:ascii="SimSun" w:eastAsia="SimSun" w:cs="SimSun"/>
      <w:i/>
      <w:iCs/>
      <w:smallCaps/>
      <w:spacing w:val="-20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98">
    <w:name w:val="Основной текст (98)_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character" w:customStyle="1" w:styleId="980">
    <w:name w:val="Основной текст (98) + Полужирный"/>
    <w:rPr>
      <w:rFonts w:ascii="Times New Roman" w:hAnsi="Times New Roman" w:cs="Times New Roman"/>
      <w:b/>
      <w:bCs/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character" w:customStyle="1" w:styleId="TimesNewRoman1">
    <w:name w:val="Основной текст + Times New Roman1"/>
    <w:rPr>
      <w:rFonts w:ascii="Times New Roman" w:eastAsia="SimSun" w:hAnsi="Times New Roman" w:cs="Times New Roman"/>
      <w:i/>
      <w:iCs/>
      <w:spacing w:val="-20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981">
    <w:name w:val="Основной текст (98)"/>
    <w:basedOn w:val="a"/>
    <w:pPr>
      <w:shd w:val="clear" w:color="auto" w:fill="FFFFFF"/>
      <w:spacing w:line="240" w:lineRule="atLeast"/>
    </w:pPr>
    <w:rPr>
      <w:sz w:val="20"/>
      <w:szCs w:val="20"/>
    </w:rPr>
  </w:style>
  <w:style w:type="character" w:customStyle="1" w:styleId="af9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afa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22">
    <w:name w:val="Body Text 2"/>
    <w:basedOn w:val="a"/>
    <w:pPr>
      <w:spacing w:after="120" w:line="480" w:lineRule="auto"/>
    </w:pPr>
  </w:style>
  <w:style w:type="character" w:customStyle="1" w:styleId="23">
    <w:name w:val="Основной текст 2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afb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14">
    <w:name w:val="заголовок 1"/>
    <w:basedOn w:val="a"/>
    <w:next w:val="a"/>
    <w:pPr>
      <w:keepNext/>
      <w:autoSpaceDE w:val="0"/>
      <w:autoSpaceDN w:val="0"/>
      <w:spacing w:line="360" w:lineRule="auto"/>
      <w:jc w:val="center"/>
    </w:pPr>
    <w:rPr>
      <w:b/>
      <w:bCs/>
    </w:rPr>
  </w:style>
  <w:style w:type="paragraph" w:customStyle="1" w:styleId="afc">
    <w:name w:val="РУП"/>
    <w:pPr>
      <w:suppressAutoHyphens/>
      <w:spacing w:after="120" w:line="1" w:lineRule="atLeast"/>
      <w:ind w:leftChars="-1" w:left="-1" w:hangingChars="1" w:firstLine="709"/>
      <w:jc w:val="both"/>
      <w:textDirection w:val="btLr"/>
      <w:textAlignment w:val="top"/>
      <w:outlineLvl w:val="0"/>
    </w:pPr>
    <w:rPr>
      <w:bCs/>
      <w:kern w:val="32"/>
      <w:position w:val="-1"/>
      <w:sz w:val="24"/>
      <w:szCs w:val="24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480" w:lineRule="atLeast"/>
      <w:ind w:firstLine="715"/>
    </w:pPr>
  </w:style>
  <w:style w:type="character" w:customStyle="1" w:styleId="60">
    <w:name w:val="Заголовок 6 Знак"/>
    <w:rPr>
      <w:rFonts w:ascii="Calibri" w:hAnsi="Calibri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styleId="afd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msonormal0">
    <w:name w:val="msonormal"/>
    <w:basedOn w:val="a"/>
  </w:style>
  <w:style w:type="paragraph" w:styleId="24">
    <w:name w:val="Body Text Indent 2"/>
    <w:basedOn w:val="a"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afe">
    <w:name w:val="Знак"/>
    <w:basedOn w:val="a"/>
    <w:pPr>
      <w:spacing w:after="160" w:line="240" w:lineRule="atLeast"/>
    </w:pPr>
    <w:rPr>
      <w:rFonts w:ascii="Verdana" w:hAnsi="Verdana"/>
      <w:lang w:val="en-US" w:eastAsia="en-US"/>
    </w:rPr>
  </w:style>
  <w:style w:type="paragraph" w:customStyle="1" w:styleId="15">
    <w:name w:val="Знак1 Знак Знак Знак Знак Знак Знак Знак Знак Знак"/>
    <w:basedOn w:val="a"/>
    <w:pPr>
      <w:tabs>
        <w:tab w:val="num" w:pos="643"/>
      </w:tabs>
      <w:spacing w:after="160" w:line="240" w:lineRule="atLeas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01">
    <w:name w:val="fontstyle01"/>
    <w:rPr>
      <w:rFonts w:ascii="TimesNewRomanPSMT" w:hAnsi="TimesNewRomanPSMT" w:hint="default"/>
      <w:color w:val="000000"/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customStyle="1" w:styleId="26">
    <w:name w:val="Сетка таблицы2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Неразрешенное упоминание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af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document?id=42058" TargetMode="External"/><Relationship Id="rId18" Type="http://schemas.openxmlformats.org/officeDocument/2006/relationships/hyperlink" Target="http://www.edu.ru" TargetMode="External"/><Relationship Id="rId26" Type="http://schemas.openxmlformats.org/officeDocument/2006/relationships/image" Target="media/image6.png"/><Relationship Id="rId39" Type="http://schemas.openxmlformats.org/officeDocument/2006/relationships/image" Target="media/image13.wmf"/><Relationship Id="rId21" Type="http://schemas.openxmlformats.org/officeDocument/2006/relationships/oleObject" Target="embeddings/oleObject1.bin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11.bin"/><Relationship Id="rId47" Type="http://schemas.openxmlformats.org/officeDocument/2006/relationships/image" Target="media/image18.wmf"/><Relationship Id="rId50" Type="http://schemas.openxmlformats.org/officeDocument/2006/relationships/oleObject" Target="embeddings/oleObject14.bin"/><Relationship Id="rId55" Type="http://schemas.openxmlformats.org/officeDocument/2006/relationships/image" Target="media/image22.png"/><Relationship Id="rId63" Type="http://schemas.openxmlformats.org/officeDocument/2006/relationships/customXml" Target="../customXml/item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lib.ugtu.net/book/9542/" TargetMode="External"/><Relationship Id="rId29" Type="http://schemas.openxmlformats.org/officeDocument/2006/relationships/image" Target="media/image8.wmf"/><Relationship Id="rId11" Type="http://schemas.openxmlformats.org/officeDocument/2006/relationships/footer" Target="footer2.xml"/><Relationship Id="rId24" Type="http://schemas.openxmlformats.org/officeDocument/2006/relationships/image" Target="media/image5.wmf"/><Relationship Id="rId32" Type="http://schemas.openxmlformats.org/officeDocument/2006/relationships/oleObject" Target="embeddings/oleObject6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0.bin"/><Relationship Id="rId45" Type="http://schemas.openxmlformats.org/officeDocument/2006/relationships/image" Target="media/image16.png"/><Relationship Id="rId53" Type="http://schemas.openxmlformats.org/officeDocument/2006/relationships/image" Target="media/image21.wmf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customXml" Target="../customXml/item2.xml"/><Relationship Id="rId19" Type="http://schemas.openxmlformats.org/officeDocument/2006/relationships/hyperlink" Target="http://www.znanium.com" TargetMode="External"/><Relationship Id="rId14" Type="http://schemas.openxmlformats.org/officeDocument/2006/relationships/hyperlink" Target="http://www.iprbookshop.ru/91677.html" TargetMode="External"/><Relationship Id="rId22" Type="http://schemas.openxmlformats.org/officeDocument/2006/relationships/image" Target="media/image4.wmf"/><Relationship Id="rId27" Type="http://schemas.openxmlformats.org/officeDocument/2006/relationships/image" Target="media/image7.wmf"/><Relationship Id="rId30" Type="http://schemas.openxmlformats.org/officeDocument/2006/relationships/oleObject" Target="embeddings/oleObject5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3.bin"/><Relationship Id="rId56" Type="http://schemas.openxmlformats.org/officeDocument/2006/relationships/image" Target="media/image23.wmf"/><Relationship Id="rId8" Type="http://schemas.openxmlformats.org/officeDocument/2006/relationships/image" Target="media/image1.jpg"/><Relationship Id="rId51" Type="http://schemas.openxmlformats.org/officeDocument/2006/relationships/image" Target="media/image20.wmf"/><Relationship Id="rId3" Type="http://schemas.openxmlformats.org/officeDocument/2006/relationships/styles" Target="styles.xml"/><Relationship Id="rId12" Type="http://schemas.openxmlformats.org/officeDocument/2006/relationships/hyperlink" Target="https://e.lanbook.com/book/103190" TargetMode="External"/><Relationship Id="rId17" Type="http://schemas.openxmlformats.org/officeDocument/2006/relationships/hyperlink" Target="http://lib.ugtu.net/book/41776/" TargetMode="External"/><Relationship Id="rId25" Type="http://schemas.openxmlformats.org/officeDocument/2006/relationships/oleObject" Target="embeddings/oleObject3.bin"/><Relationship Id="rId33" Type="http://schemas.openxmlformats.org/officeDocument/2006/relationships/image" Target="media/image10.wmf"/><Relationship Id="rId38" Type="http://schemas.openxmlformats.org/officeDocument/2006/relationships/oleObject" Target="embeddings/oleObject9.bin"/><Relationship Id="rId46" Type="http://schemas.openxmlformats.org/officeDocument/2006/relationships/image" Target="media/image17.png"/><Relationship Id="rId59" Type="http://schemas.openxmlformats.org/officeDocument/2006/relationships/fontTable" Target="fontTable.xml"/><Relationship Id="rId20" Type="http://schemas.openxmlformats.org/officeDocument/2006/relationships/image" Target="media/image3.wmf"/><Relationship Id="rId41" Type="http://schemas.openxmlformats.org/officeDocument/2006/relationships/image" Target="media/image14.wmf"/><Relationship Id="rId54" Type="http://schemas.openxmlformats.org/officeDocument/2006/relationships/oleObject" Target="embeddings/oleObject16.bin"/><Relationship Id="rId62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lib.ugtu.net/book/575" TargetMode="External"/><Relationship Id="rId23" Type="http://schemas.openxmlformats.org/officeDocument/2006/relationships/oleObject" Target="embeddings/oleObject2.bin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8.bin"/><Relationship Id="rId49" Type="http://schemas.openxmlformats.org/officeDocument/2006/relationships/image" Target="media/image19.wmf"/><Relationship Id="rId57" Type="http://schemas.openxmlformats.org/officeDocument/2006/relationships/oleObject" Target="embeddings/oleObject17.bin"/><Relationship Id="rId10" Type="http://schemas.openxmlformats.org/officeDocument/2006/relationships/footer" Target="footer1.xml"/><Relationship Id="rId31" Type="http://schemas.openxmlformats.org/officeDocument/2006/relationships/image" Target="media/image9.wmf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5.bin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o/pBaov9dbDo7DDBshtZAWjWiQ==">AMUW2mVtVr05WDIllRo5jBgcs79Z+ZVmxDAgKZPA9+8Vz9oBWffTEOqIPJwNDvZrOhar4XNGlULkj9U+1bXkw54NW5mu3LiE3Rw6uoAZ0xwAeUhHobcGkikuKF0RcIhenAQmYCiBOnR3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0AE1E6-035B-4367-8CDD-5251E6920EE8}"/>
</file>

<file path=customXml/itemProps2.xml><?xml version="1.0" encoding="utf-8"?>
<ds:datastoreItem xmlns:ds="http://schemas.openxmlformats.org/officeDocument/2006/customXml" ds:itemID="{11111111-1234-1234-1234-123412341234}"/>
</file>

<file path=customXml/itemProps3.xml><?xml version="1.0" encoding="utf-8"?>
<ds:datastoreItem xmlns:ds="http://schemas.openxmlformats.org/officeDocument/2006/customXml" ds:itemID="{CC729B6F-BA8F-4C02-B048-BED7D0E371AF}"/>
</file>

<file path=customXml/itemProps4.xml><?xml version="1.0" encoding="utf-8"?>
<ds:datastoreItem xmlns:ds="http://schemas.openxmlformats.org/officeDocument/2006/customXml" ds:itemID="{92B8273B-6CA7-479F-964A-1482A4CFE6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5649</Words>
  <Characters>32203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УГТУ</Company>
  <LinksUpToDate>false</LinksUpToDate>
  <CharactersWithSpaces>37777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оперативной полиграфии</dc:creator>
  <cp:lastModifiedBy>Таширева Светлана Васильевна</cp:lastModifiedBy>
  <cp:revision>2</cp:revision>
  <dcterms:created xsi:type="dcterms:W3CDTF">2022-05-19T10:10:00Z</dcterms:created>
  <dcterms:modified xsi:type="dcterms:W3CDTF">2022-05-19T10:10:00Z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